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 w:val="20"/>
          <w:szCs w:val="24"/>
          <w:lang w:val="hr-HR" w:eastAsia="zh-CN"/>
        </w:rPr>
      </w:pPr>
      <w:r>
        <w:rPr>
          <w:rFonts w:eastAsia="Calibri" w:cs="Times New Roman"/>
          <w:b/>
          <w:kern w:val="2"/>
          <w:sz w:val="20"/>
          <w:szCs w:val="24"/>
          <w:lang w:val="hr-HR" w:eastAsia="zh-CN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 w:val="20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ab/>
        <w:t>REPUBLIKA HRVATSKA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VUKOVARSKO-SRIJEMSKA ŽUPANIJA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OPĆINA NEGOSLAVCI</w:t>
      </w:r>
    </w:p>
    <w:p>
      <w:pPr>
        <w:pStyle w:val="Normal"/>
        <w:suppressAutoHyphens w:val="true"/>
        <w:jc w:val="both"/>
        <w:rPr>
          <w:rFonts w:eastAsia="Calibri" w:cs="Times New Roman"/>
          <w:b/>
          <w:b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Općinski načelnik</w:t>
      </w:r>
    </w:p>
    <w:p>
      <w:pPr>
        <w:pStyle w:val="Normal"/>
        <w:jc w:val="both"/>
        <w:rPr>
          <w:rFonts w:eastAsia="Calibri" w:cs="Times New Roman"/>
          <w:sz w:val="28"/>
          <w:szCs w:val="28"/>
          <w:lang w:val="hr-HR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KLASA</w:t>
      </w:r>
      <w:r>
        <w:rPr>
          <w:rFonts w:eastAsia="Calibri" w:cs="Times New Roman"/>
          <w:b/>
          <w:color w:val="000000"/>
          <w:kern w:val="2"/>
          <w:szCs w:val="24"/>
          <w:lang w:val="hr-HR" w:eastAsia="zh-CN"/>
        </w:rPr>
        <w:t xml:space="preserve">: </w:t>
      </w:r>
      <w:r>
        <w:rPr>
          <w:rFonts w:eastAsia="Calibri" w:cs="Times New Roman"/>
          <w:color w:val="000000"/>
          <w:szCs w:val="24"/>
          <w:lang w:val="hr-HR"/>
        </w:rPr>
        <w:t>400-04/26-01/02</w:t>
      </w:r>
    </w:p>
    <w:p>
      <w:pPr>
        <w:pStyle w:val="Normal"/>
        <w:suppressAutoHyphens w:val="true"/>
        <w:jc w:val="both"/>
        <w:rPr>
          <w:color w:val="000000"/>
        </w:rPr>
      </w:pPr>
      <w:r>
        <w:rPr>
          <w:rFonts w:eastAsia="Calibri" w:cs="Times New Roman"/>
          <w:b/>
          <w:color w:val="000000"/>
          <w:kern w:val="2"/>
          <w:szCs w:val="24"/>
          <w:lang w:val="hr-HR" w:eastAsia="zh-CN"/>
        </w:rPr>
        <w:t xml:space="preserve">URBROJ: </w:t>
      </w:r>
      <w:bookmarkStart w:id="0" w:name="_Hlk100039393"/>
      <w:r>
        <w:rPr>
          <w:rFonts w:eastAsia="Calibri" w:cs="Times New Roman"/>
          <w:color w:val="000000"/>
          <w:kern w:val="2"/>
          <w:szCs w:val="24"/>
          <w:lang w:val="hr-HR" w:eastAsia="zh-CN"/>
        </w:rPr>
        <w:t>2196-19-01-26-</w:t>
      </w:r>
      <w:bookmarkEnd w:id="0"/>
      <w:r>
        <w:rPr>
          <w:rFonts w:eastAsia="Calibri" w:cs="Times New Roman"/>
          <w:color w:val="000000"/>
          <w:kern w:val="2"/>
          <w:szCs w:val="24"/>
          <w:lang w:val="hr-HR" w:eastAsia="zh-CN"/>
        </w:rPr>
        <w:t>1</w:t>
      </w:r>
      <w:r>
        <w:rPr>
          <w:rFonts w:eastAsia="Calibri" w:cs="Times New Roman"/>
          <w:color w:val="000000"/>
          <w:kern w:val="2"/>
          <w:szCs w:val="24"/>
          <w:lang w:val="hr-HR" w:eastAsia="zh-CN"/>
        </w:rPr>
        <w:t>0</w:t>
      </w:r>
    </w:p>
    <w:p>
      <w:pPr>
        <w:pStyle w:val="Normal"/>
        <w:suppressAutoHyphens w:val="true"/>
        <w:jc w:val="both"/>
        <w:rPr>
          <w:rFonts w:eastAsia="Calibri" w:cs="Times New Roman"/>
          <w:kern w:val="2"/>
          <w:szCs w:val="24"/>
          <w:lang w:val="hr-HR" w:eastAsia="zh-CN"/>
        </w:rPr>
      </w:pPr>
      <w:r>
        <w:rPr>
          <w:rFonts w:eastAsia="Calibri" w:cs="Times New Roman"/>
          <w:b/>
          <w:kern w:val="2"/>
          <w:szCs w:val="24"/>
          <w:lang w:val="hr-HR" w:eastAsia="zh-CN"/>
        </w:rPr>
        <w:t>Negoslavci,</w:t>
      </w:r>
      <w:r>
        <w:rPr>
          <w:rFonts w:eastAsia="Calibri" w:cs="Times New Roman"/>
          <w:b/>
          <w:color w:val="000000"/>
          <w:kern w:val="2"/>
          <w:szCs w:val="24"/>
          <w:lang w:val="hr-HR" w:eastAsia="zh-CN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kern w:val="2"/>
          <w:szCs w:val="24"/>
          <w:lang w:val="hr-HR" w:eastAsia="zh-CN"/>
        </w:rPr>
        <w:t>26</w:t>
      </w:r>
      <w:r>
        <w:rPr>
          <w:rFonts w:eastAsia="Calibri" w:cs="Times New Roman"/>
          <w:color w:val="000000"/>
          <w:kern w:val="2"/>
          <w:szCs w:val="24"/>
          <w:lang w:val="hr-HR" w:eastAsia="zh-CN"/>
        </w:rPr>
        <w:t xml:space="preserve">. ožujka 2026. </w:t>
      </w:r>
    </w:p>
    <w:p>
      <w:pPr>
        <w:pStyle w:val="Normal"/>
        <w:widowControl w:val="false"/>
        <w:suppressAutoHyphens w:val="true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Times New Roman" w:cs="Times New Roman"/>
          <w:kern w:val="2"/>
          <w:szCs w:val="24"/>
          <w:lang w:val="hr-HR" w:eastAsia="ar-SA"/>
        </w:rPr>
        <w:tab/>
        <w:tab/>
        <w:tab/>
        <w:tab/>
        <w:t xml:space="preserve">                            </w:t>
      </w:r>
    </w:p>
    <w:p>
      <w:pPr>
        <w:pStyle w:val="Normal"/>
        <w:widowControl w:val="false"/>
        <w:suppressAutoHyphens w:val="true"/>
        <w:ind w:firstLine="720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 xml:space="preserve">Na </w:t>
      </w:r>
      <w:r>
        <w:rPr>
          <w:rFonts w:eastAsia="Andale Sans UI" w:cs="Times New Roman"/>
          <w:kern w:val="2"/>
          <w:szCs w:val="24"/>
          <w:lang w:val="hr-HR" w:eastAsia="ar-SA"/>
        </w:rPr>
        <w:t xml:space="preserve">temelju članka 289. Zakon o socijalnoj skrbi ("Narodne novine" br. 18/22, 46/22, 119/22, 71/23, 156/23 i 61/25) i </w:t>
      </w:r>
      <w:r>
        <w:rPr>
          <w:rFonts w:eastAsia="Andale Sans UI" w:cs="Times New Roman"/>
          <w:kern w:val="2"/>
          <w:szCs w:val="24"/>
          <w:lang w:val="en-AU" w:eastAsia="ar-SA"/>
        </w:rPr>
        <w:t xml:space="preserve">članka 32., stavka 2., točke 2. Statuta Općine Negoslavci (“Službeni glasnik Općine Negoslavci” broj 04/25), Općinski načelnik Općine Negoslavci dana </w:t>
      </w:r>
      <w:r>
        <w:rPr>
          <w:rFonts w:eastAsia="Andale Sans UI" w:cs="Times New Roman"/>
          <w:color w:val="000000"/>
          <w:kern w:val="2"/>
          <w:szCs w:val="24"/>
          <w:lang w:val="en-AU" w:eastAsia="ar-SA"/>
        </w:rPr>
        <w:t>26.03.2026</w:t>
      </w:r>
      <w:r>
        <w:rPr>
          <w:rFonts w:eastAsia="Andale Sans UI" w:cs="Times New Roman"/>
          <w:kern w:val="2"/>
          <w:szCs w:val="24"/>
          <w:lang w:val="en-AU" w:eastAsia="ar-SA"/>
        </w:rPr>
        <w:t>. godine donosi</w:t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bCs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bCs/>
          <w:kern w:val="2"/>
          <w:szCs w:val="24"/>
          <w:lang w:val="hr-HR" w:eastAsia="ar-SA"/>
        </w:rPr>
        <w:t>Izvještaj o realizaciji Programa javnih potreba u socijalnoj skrbi na području Općine Negoslavci za 2025. godinu</w:t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kern w:val="2"/>
          <w:szCs w:val="24"/>
          <w:lang w:val="hr-HR" w:eastAsia="ar-SA"/>
        </w:rPr>
      </w:pPr>
      <w:r>
        <w:rPr>
          <w:rFonts w:eastAsia="Andale Sans UI" w:cs="Times New Roman"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hr-HR" w:eastAsia="ar-SA"/>
        </w:rPr>
      </w:pPr>
      <w:r>
        <w:rPr>
          <w:rFonts w:eastAsia="Andale Sans UI" w:cs="Times New Roman"/>
          <w:b/>
          <w:kern w:val="2"/>
          <w:szCs w:val="24"/>
          <w:lang w:val="hr-HR" w:eastAsia="ar-SA"/>
        </w:rPr>
        <w:t>Članak 1.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Utvrđuje se da je tijekom 2025. godine izvršen Program javnih potreba u socijalnoj skrbi na području Općine Negoslavci za 2025. godinu, kako slijedi.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Prikaz planiranih sredstava i ostvarenja plana: Općinski proračun.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2.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Prikaz planiranih i izvršenih sredstava iz Općinskog proračuna Općine Negoslavci.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tbl>
      <w:tblPr>
        <w:tblStyle w:val="Reetkatablice"/>
        <w:tblW w:w="8320" w:type="dxa"/>
        <w:jc w:val="left"/>
        <w:tblInd w:w="5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1"/>
        <w:gridCol w:w="2275"/>
        <w:gridCol w:w="2214"/>
      </w:tblGrid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b/>
                <w:b/>
                <w:bCs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AU" w:eastAsia="hr-HR" w:bidi="ar-SA"/>
              </w:rPr>
              <w:t>NAZIV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b/>
                <w:b/>
                <w:bCs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AU" w:eastAsia="hr-HR" w:bidi="ar-SA"/>
              </w:rPr>
              <w:t>PLANIRANO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b/>
                <w:b/>
                <w:bCs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AU" w:eastAsia="hr-HR" w:bidi="ar-SA"/>
              </w:rPr>
              <w:t>OSTVARENO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AU" w:eastAsia="hr-HR" w:bidi="ar-SA"/>
              </w:rPr>
              <w:t>Pomoć obitelji i kućanstvima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2.000,00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AU" w:eastAsia="hr-HR"/>
              </w:rPr>
              <w:t>1.793,07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AU" w:eastAsia="hr-HR" w:bidi="ar-SA"/>
              </w:rPr>
              <w:t>Jednokratne pomoći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7.350,00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7.350,00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AU" w:eastAsia="hr-HR" w:bidi="ar-SA"/>
              </w:rPr>
              <w:t>Jednokratne pomoći umirovljenicima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12.000,00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11.630,00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AU" w:eastAsia="hr-HR" w:bidi="ar-SA"/>
              </w:rPr>
              <w:t>Paketi za potrebite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500,00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89,56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AU" w:eastAsia="hr-HR" w:bidi="ar-SA"/>
              </w:rPr>
              <w:t>Sufinanciranje prijevoza građana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12.000,00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11.915,08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AU" w:eastAsia="hr-HR" w:bidi="ar-SA"/>
              </w:rPr>
              <w:t>Dječji paketići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AU" w:eastAsia="hr-HR"/>
              </w:rPr>
              <w:t>2.000,00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>
        <w:trPr/>
        <w:tc>
          <w:tcPr>
            <w:tcW w:w="38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val="en-AU" w:eastAsia="hr-HR"/>
              </w:rPr>
              <w:t>Sportska nagrada</w:t>
            </w:r>
          </w:p>
        </w:tc>
        <w:tc>
          <w:tcPr>
            <w:tcW w:w="22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500,00</w:t>
            </w:r>
          </w:p>
        </w:tc>
        <w:tc>
          <w:tcPr>
            <w:tcW w:w="22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Times New Roman"/>
                <w:b/>
                <w:b/>
                <w:bCs/>
                <w:szCs w:val="24"/>
                <w:lang w:val="en-AU" w:eastAsia="hr-H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AU" w:eastAsia="hr-HR" w:bidi="ar-SA"/>
              </w:rPr>
              <w:t>UKUPNO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AU" w:eastAsia="hr-HR"/>
              </w:rPr>
              <w:t>36.350,00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AU" w:eastAsia="hr-HR"/>
              </w:rPr>
              <w:t>32.777,71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3.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Izvještaj se dostavlja Općinskom vijeću na razmatranje i odlučivanje.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eastAsia="Andale Sans UI" w:cs="Times New Roman"/>
          <w:b/>
          <w:b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kern w:val="2"/>
          <w:szCs w:val="24"/>
          <w:lang w:val="en-AU" w:eastAsia="ar-SA"/>
        </w:rPr>
        <w:t>Članak 4.</w:t>
      </w:r>
    </w:p>
    <w:p>
      <w:pPr>
        <w:pStyle w:val="Normal"/>
        <w:widowControl w:val="false"/>
        <w:suppressAutoHyphens w:val="true"/>
        <w:jc w:val="both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>Izvješće će se objaviti u “Službenom glasniku Općine Negoslavci” i na internet stranici Općine Negoslavci.</w:t>
      </w:r>
      <w:r>
        <w:rPr>
          <w:rFonts w:eastAsia="Times New Roman" w:cs="Times New Roman"/>
          <w:kern w:val="2"/>
          <w:szCs w:val="24"/>
          <w:lang w:val="en-AU" w:eastAsia="ar-SA"/>
        </w:rPr>
        <w:t xml:space="preserve">                          </w:t>
      </w:r>
      <w:r>
        <w:rPr>
          <w:rFonts w:eastAsia="Andale Sans UI" w:cs="Times New Roman"/>
          <w:kern w:val="2"/>
          <w:szCs w:val="24"/>
          <w:lang w:val="en-AU" w:eastAsia="ar-SA"/>
        </w:rPr>
        <w:tab/>
        <w:tab/>
        <w:tab/>
        <w:tab/>
        <w:tab/>
        <w:tab/>
        <w:t xml:space="preserve">                </w:t>
      </w:r>
    </w:p>
    <w:p>
      <w:pPr>
        <w:pStyle w:val="Normal"/>
        <w:widowControl w:val="false"/>
        <w:suppressAutoHyphens w:val="true"/>
        <w:ind w:left="5648" w:firstLine="706"/>
        <w:jc w:val="right"/>
        <w:rPr>
          <w:rFonts w:eastAsia="Andale Sans UI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" w:cs="Times New Roman"/>
          <w:b/>
          <w:bCs/>
          <w:kern w:val="2"/>
          <w:szCs w:val="24"/>
          <w:lang w:val="en-AU" w:eastAsia="ar-SA"/>
        </w:rPr>
        <w:t>OPĆINSKI NAČELNIK</w:t>
      </w:r>
    </w:p>
    <w:p>
      <w:pPr>
        <w:pStyle w:val="Normal"/>
        <w:widowControl w:val="false"/>
        <w:suppressAutoHyphens w:val="true"/>
        <w:jc w:val="right"/>
        <w:rPr>
          <w:rFonts w:eastAsia="Andale Sans UI" w:cs="Times New Roman"/>
          <w:i/>
          <w:i/>
          <w:iCs/>
          <w:kern w:val="2"/>
          <w:szCs w:val="24"/>
          <w:u w:val="single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  <w:tab/>
        <w:tab/>
        <w:tab/>
        <w:tab/>
        <w:tab/>
        <w:tab/>
        <w:tab/>
        <w:tab/>
        <w:t xml:space="preserve">               </w:t>
      </w:r>
      <w:r>
        <w:rPr>
          <w:rFonts w:eastAsia="Andale Sans UI" w:cs="Times New Roman"/>
          <w:kern w:val="2"/>
          <w:szCs w:val="24"/>
          <w:lang w:val="hr-HR" w:eastAsia="ar-SA"/>
        </w:rPr>
        <w:t xml:space="preserve">        </w:t>
      </w:r>
      <w:r>
        <w:rPr>
          <w:rFonts w:eastAsia="Andale Sans UI" w:cs="Times New Roman"/>
          <w:kern w:val="2"/>
          <w:szCs w:val="24"/>
          <w:lang w:val="en-AU" w:eastAsia="ar-SA"/>
        </w:rPr>
        <w:t xml:space="preserve">Dušan Jeckov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047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0717a2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0717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6d0f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LibreOffice/7.4.1.2$Windows_X86_64 LibreOffice_project/3c58a8f3a960df8bc8fd77b461821e42c061c5f0</Application>
  <AppVersion>15.0000</AppVersion>
  <Pages>1</Pages>
  <Words>190</Words>
  <Characters>1262</Characters>
  <CharactersWithSpaces>1526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2022-04-05T11:24:00Z</dcterms:created>
  <dc:creator>Korisnik</dc:creator>
  <dc:description/>
  <dc:language>hr-HR</dc:language>
  <cp:lastModifiedBy/>
  <dcterms:modified xsi:type="dcterms:W3CDTF">2026-05-07T14:33:30Z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