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00" w:type="dxa"/>
        <w:jc w:val="left"/>
        <w:tblInd w:w="0" w:type="dxa"/>
        <w:tblLayout w:type="fixed"/>
        <w:tblCellMar>
          <w:top w:w="0" w:type="dxa"/>
          <w:left w:w="108" w:type="dxa"/>
          <w:bottom w:w="0" w:type="dxa"/>
          <w:right w:w="108" w:type="dxa"/>
        </w:tblCellMar>
      </w:tblPr>
      <w:tblGrid>
        <w:gridCol w:w="1894"/>
        <w:gridCol w:w="7105"/>
      </w:tblGrid>
      <w:tr>
        <w:trPr/>
        <w:tc>
          <w:tcPr>
            <w:tcW w:w="1894" w:type="dxa"/>
            <w:tcBorders/>
            <w:shd w:color="auto" w:fill="E7F0F9" w:val="clear"/>
          </w:tcPr>
          <w:p>
            <w:pPr>
              <w:pStyle w:val="Normal"/>
              <w:widowControl w:val="false"/>
              <w:bidi w:val="0"/>
              <w:spacing w:lineRule="auto" w:line="240" w:before="0" w:after="0"/>
              <w:jc w:val="left"/>
              <w:rPr/>
            </w:pPr>
            <w:r>
              <w:rPr>
                <w:b/>
              </w:rPr>
              <w:t>RKP broj</w:t>
            </w:r>
          </w:p>
        </w:tc>
        <w:tc>
          <w:tcPr>
            <w:tcW w:w="7105" w:type="dxa"/>
            <w:tcBorders/>
            <w:shd w:color="auto" w:fill="E7F0F9" w:val="clear"/>
          </w:tcPr>
          <w:p>
            <w:pPr>
              <w:pStyle w:val="Normal"/>
              <w:widowControl w:val="false"/>
              <w:bidi w:val="0"/>
              <w:spacing w:lineRule="auto" w:line="240" w:before="0" w:after="0"/>
              <w:jc w:val="left"/>
              <w:rPr/>
            </w:pPr>
            <w:r>
              <w:rPr/>
              <w:t>36604</w:t>
            </w:r>
          </w:p>
        </w:tc>
      </w:tr>
      <w:tr>
        <w:trPr/>
        <w:tc>
          <w:tcPr>
            <w:tcW w:w="1894" w:type="dxa"/>
            <w:tcBorders/>
            <w:shd w:color="auto" w:fill="E7F0F9" w:val="clear"/>
          </w:tcPr>
          <w:p>
            <w:pPr>
              <w:pStyle w:val="Normal"/>
              <w:widowControl w:val="false"/>
              <w:bidi w:val="0"/>
              <w:spacing w:lineRule="auto" w:line="240" w:before="0" w:after="0"/>
              <w:jc w:val="left"/>
              <w:rPr/>
            </w:pPr>
            <w:r>
              <w:rPr>
                <w:b/>
              </w:rPr>
              <w:t>Naziv obveznika</w:t>
            </w:r>
          </w:p>
        </w:tc>
        <w:tc>
          <w:tcPr>
            <w:tcW w:w="7105" w:type="dxa"/>
            <w:tcBorders/>
            <w:shd w:color="auto" w:fill="E7F0F9" w:val="clear"/>
          </w:tcPr>
          <w:p>
            <w:pPr>
              <w:pStyle w:val="Normal"/>
              <w:widowControl w:val="false"/>
              <w:bidi w:val="0"/>
              <w:spacing w:lineRule="auto" w:line="240" w:before="0" w:after="0"/>
              <w:jc w:val="left"/>
              <w:rPr/>
            </w:pPr>
            <w:r>
              <w:rPr/>
              <w:t>OPĆINA NEGOSLAVCI</w:t>
            </w:r>
          </w:p>
        </w:tc>
      </w:tr>
      <w:tr>
        <w:trPr/>
        <w:tc>
          <w:tcPr>
            <w:tcW w:w="1894" w:type="dxa"/>
            <w:tcBorders/>
            <w:shd w:color="auto" w:fill="E7F0F9" w:val="clear"/>
          </w:tcPr>
          <w:p>
            <w:pPr>
              <w:pStyle w:val="Normal"/>
              <w:widowControl w:val="false"/>
              <w:bidi w:val="0"/>
              <w:spacing w:lineRule="auto" w:line="240" w:before="0" w:after="0"/>
              <w:jc w:val="left"/>
              <w:rPr/>
            </w:pPr>
            <w:r>
              <w:rPr>
                <w:b/>
              </w:rPr>
              <w:t>Razina</w:t>
            </w:r>
          </w:p>
        </w:tc>
        <w:tc>
          <w:tcPr>
            <w:tcW w:w="7105" w:type="dxa"/>
            <w:tcBorders/>
            <w:shd w:color="auto" w:fill="E7F0F9" w:val="clear"/>
          </w:tcPr>
          <w:p>
            <w:pPr>
              <w:pStyle w:val="Normal"/>
              <w:widowControl w:val="false"/>
              <w:bidi w:val="0"/>
              <w:spacing w:lineRule="auto" w:line="240" w:before="0" w:after="0"/>
              <w:jc w:val="left"/>
              <w:rPr/>
            </w:pPr>
            <w:r>
              <w:rPr/>
              <w:t>22</w:t>
            </w:r>
          </w:p>
        </w:tc>
      </w:tr>
    </w:tbl>
    <w:p>
      <w:pPr>
        <w:pStyle w:val="Normal"/>
        <w:bidi w:val="0"/>
        <w:jc w:val="left"/>
        <w:rPr/>
      </w:pPr>
      <w:r>
        <w:rPr/>
        <w:br/>
      </w:r>
    </w:p>
    <w:p>
      <w:pPr>
        <w:pStyle w:val="Normal"/>
        <w:bidi w:val="0"/>
        <w:spacing w:lineRule="auto" w:line="240"/>
        <w:jc w:val="center"/>
        <w:rPr/>
      </w:pPr>
      <w:r>
        <w:rPr>
          <w:b/>
          <w:sz w:val="28"/>
        </w:rPr>
        <w:t>BILJEŠKE UZ FINANCIJSKE IZVJEŠTAJE</w:t>
      </w:r>
    </w:p>
    <w:p>
      <w:pPr>
        <w:pStyle w:val="Normal"/>
        <w:bidi w:val="0"/>
        <w:spacing w:lineRule="auto" w:line="240"/>
        <w:jc w:val="center"/>
        <w:rPr/>
      </w:pPr>
      <w:r>
        <w:rPr>
          <w:b/>
          <w:sz w:val="28"/>
        </w:rPr>
        <w:t>ZA RAZDOBLJE</w:t>
      </w:r>
    </w:p>
    <w:p>
      <w:pPr>
        <w:pStyle w:val="Normal"/>
        <w:bidi w:val="0"/>
        <w:spacing w:lineRule="auto" w:line="240"/>
        <w:jc w:val="center"/>
        <w:rPr/>
      </w:pPr>
      <w:r>
        <w:rPr>
          <w:b/>
          <w:sz w:val="28"/>
        </w:rPr>
        <w:t>I - VI 2026.</w:t>
      </w:r>
    </w:p>
    <w:p>
      <w:pPr>
        <w:pStyle w:val="Normal"/>
        <w:bidi w:val="0"/>
        <w:jc w:val="left"/>
        <w:rPr/>
      </w:pPr>
      <w:r>
        <w:rPr/>
      </w:r>
    </w:p>
    <w:p>
      <w:pPr>
        <w:pStyle w:val="Normal"/>
        <w:keepNext w:val="true"/>
        <w:bidi w:val="0"/>
        <w:spacing w:lineRule="auto" w:line="240"/>
        <w:jc w:val="center"/>
        <w:rPr/>
      </w:pPr>
      <w:r>
        <w:rPr>
          <w:b/>
          <w:sz w:val="28"/>
        </w:rPr>
        <w:t>Izvještaj o prihodima i rashodima, primicima i izdacima</w:t>
      </w:r>
    </w:p>
    <w:p>
      <w:pPr>
        <w:pStyle w:val="Normal"/>
        <w:keepNext w:val="true"/>
        <w:bidi w:val="0"/>
        <w:spacing w:lineRule="auto" w:line="240"/>
        <w:jc w:val="center"/>
        <w:rPr/>
      </w:pPr>
      <w:r>
        <w:rPr>
          <w:sz w:val="28"/>
        </w:rPr>
        <w:t>Bilješka 1.</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PRIHODI POSLOVANJA (šifre 61+62+63+64+65+66+67+68)</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630.052,83</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603.555,56</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95,8</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RASHODI POSLOVANJA (šifre 31+32+34+35+36+37+38)</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455.909,20</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436.418,34</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95,7</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rFonts w:ascii="Times New Roman" w:hAnsi="Times New Roman"/>
                <w:b/>
                <w:b/>
                <w:sz w:val="18"/>
              </w:rPr>
            </w:pPr>
            <w:r>
              <w:rPr/>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VIŠAK PRIHODA POSLOVANJA (šifre 6-Z005)</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X001</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174.143,63</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167.137,22</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b/>
                <w:sz w:val="18"/>
              </w:rPr>
              <w:t>96,0</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7</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Prihodi od prodaje nefinancijske imovine (šifre 71+72+73+74)</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7</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4</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Rashodi za nabavu nefinancijske imovine (šifre 41+42+43+44+45)</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4</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154.199,35</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150.658,49</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97,7</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rFonts w:ascii="Times New Roman" w:hAnsi="Times New Roman"/>
                <w:b/>
                <w:b/>
                <w:sz w:val="18"/>
              </w:rPr>
            </w:pPr>
            <w:r>
              <w:rPr/>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MANJAK PRIHODA OD NEFINANCIJSKE IMOVINE (šifre 4-7)</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Y002</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154.199,35</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150.658,49</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b/>
                <w:sz w:val="18"/>
              </w:rPr>
              <w:t>97,7</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8</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Primici od financijske imovine i zaduživanja (šifre 81+82+83+84+85)</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8</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5</w:t>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Izdaci za financijsku imovinu i otplate zajmova (šifre 51+52+53+54+55)</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5</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w:t>
            </w:r>
          </w:p>
        </w:tc>
      </w:tr>
      <w:tr>
        <w:trPr>
          <w:trHeight w:val="560" w:hRule="atLeast"/>
          <w:cantSplit w:val="true"/>
        </w:trPr>
        <w:tc>
          <w:tcPr>
            <w:tcW w:w="700" w:type="dxa"/>
            <w:tcBorders>
              <w:top w:val="single" w:sz="8" w:space="0" w:color="BABABA"/>
              <w:left w:val="single" w:sz="12" w:space="0" w:color="BABAB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rFonts w:ascii="Times New Roman" w:hAnsi="Times New Roman"/>
                <w:b/>
                <w:b/>
                <w:sz w:val="18"/>
              </w:rPr>
            </w:pPr>
            <w:r>
              <w:rPr/>
            </w:r>
          </w:p>
        </w:tc>
        <w:tc>
          <w:tcPr>
            <w:tcW w:w="317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VIŠAK/MANJAK PRIMITAKA OD FINANCIJSKE IMOVINE I ZADUŽIVANJA (šifre 8-5, 5-8)</w:t>
            </w:r>
          </w:p>
        </w:tc>
        <w:tc>
          <w:tcPr>
            <w:tcW w:w="701"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X003, Y003</w:t>
            </w:r>
          </w:p>
        </w:tc>
        <w:tc>
          <w:tcPr>
            <w:tcW w:w="1860"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0,00</w:t>
            </w:r>
          </w:p>
        </w:tc>
        <w:tc>
          <w:tcPr>
            <w:tcW w:w="1859" w:type="dxa"/>
            <w:tcBorders>
              <w:top w:val="single" w:sz="8" w:space="0" w:color="BABABA"/>
              <w:left w:val="single" w:sz="8" w:space="0" w:color="DADADA"/>
              <w:bottom w:val="single" w:sz="8"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0,00</w:t>
            </w:r>
          </w:p>
        </w:tc>
        <w:tc>
          <w:tcPr>
            <w:tcW w:w="700" w:type="dxa"/>
            <w:tcBorders>
              <w:top w:val="single" w:sz="8" w:space="0" w:color="BABABA"/>
              <w:left w:val="single" w:sz="8" w:space="0" w:color="DADADA"/>
              <w:bottom w:val="single" w:sz="8" w:space="0" w:color="BABABA"/>
              <w:right w:val="single" w:sz="12" w:space="0" w:color="BABABA"/>
            </w:tcBorders>
            <w:vAlign w:val="center"/>
          </w:tcPr>
          <w:p>
            <w:pPr>
              <w:pStyle w:val="Normal"/>
              <w:keepNext w:val="true"/>
              <w:keepLines/>
              <w:widowControl w:val="false"/>
              <w:bidi w:val="0"/>
              <w:spacing w:lineRule="auto" w:line="240" w:before="0" w:after="0"/>
              <w:jc w:val="right"/>
              <w:rPr/>
            </w:pPr>
            <w:r>
              <w:rPr>
                <w:b/>
                <w:sz w:val="18"/>
              </w:rPr>
              <w:t>-</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rFonts w:ascii="Times New Roman" w:hAnsi="Times New Roman"/>
                <w:b/>
                <w:b/>
                <w:sz w:val="18"/>
              </w:rPr>
            </w:pPr>
            <w:r>
              <w:rPr/>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VIŠAK PRIHODA I PRIMITAKA (šifre X678-Y345)</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b/>
                <w:sz w:val="18"/>
              </w:rPr>
              <w:t>X005</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19.944,28</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b/>
                <w:sz w:val="18"/>
              </w:rPr>
              <w:t>16.478,73</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b/>
                <w:sz w:val="18"/>
              </w:rPr>
              <w:t>82,6</w:t>
            </w:r>
          </w:p>
        </w:tc>
      </w:tr>
    </w:tbl>
    <w:p>
      <w:pPr>
        <w:pStyle w:val="Normal"/>
        <w:bidi w:val="0"/>
        <w:spacing w:before="0" w:after="0"/>
        <w:jc w:val="left"/>
        <w:rPr/>
      </w:pPr>
      <w:r>
        <w:rPr/>
      </w:r>
    </w:p>
    <w:p>
      <w:pPr>
        <w:pStyle w:val="Normal"/>
        <w:bidi w:val="0"/>
        <w:jc w:val="left"/>
        <w:rPr/>
      </w:pPr>
      <w:r>
        <w:rPr/>
        <w:t>Općina Negoslavci u razdoblju od 01. siječanja do 30. lipnja 2026. godine ostvarila je prihode poslovanja u iznosu 603.555,56 €i rashode poslovanja u iznosu 436.418,34 €. U istom periodu općina nije ostvarila prihode od prodaje nefinancijske imovine ali je ostvarila rashode za nabavu nefinancijeske  imovine u iznosu 150.658,49 €. Na kraju izvještajnog razdoblja ostvaren je višak prihoda nad rashodima u iznosu 16.478,73 € koji zajedno sa prenesenim viškom iz prijašnjih godine u iznosu 223.855,09 € čini ukupno ostvareni višak prihoda u iznosu 240.333,82 €</w:t>
      </w:r>
    </w:p>
    <w:p>
      <w:pPr>
        <w:pStyle w:val="Normal"/>
        <w:bidi w:val="0"/>
        <w:jc w:val="left"/>
        <w:rPr/>
      </w:pPr>
      <w:r>
        <w:rPr/>
        <w:br/>
      </w:r>
    </w:p>
    <w:p>
      <w:pPr>
        <w:pStyle w:val="Normal"/>
        <w:keepNext w:val="true"/>
        <w:bidi w:val="0"/>
        <w:spacing w:lineRule="auto" w:line="240"/>
        <w:jc w:val="center"/>
        <w:rPr/>
      </w:pPr>
      <w:r>
        <w:rPr>
          <w:sz w:val="28"/>
        </w:rPr>
        <w:t>Bilješka 2.</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6331</w:t>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Tekuće pomoći proračunu i izvanproračunskim korisnicima iz drugih proračuna</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6331</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1.958,80</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22.645,18</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1156,1</w:t>
            </w:r>
          </w:p>
        </w:tc>
      </w:tr>
    </w:tbl>
    <w:p>
      <w:pPr>
        <w:pStyle w:val="Normal"/>
        <w:bidi w:val="0"/>
        <w:spacing w:before="0" w:after="0"/>
        <w:jc w:val="left"/>
        <w:rPr/>
      </w:pPr>
      <w:r>
        <w:rPr/>
      </w:r>
    </w:p>
    <w:p>
      <w:pPr>
        <w:pStyle w:val="Normal"/>
        <w:bidi w:val="0"/>
        <w:jc w:val="left"/>
        <w:rPr/>
      </w:pPr>
      <w:r>
        <w:rPr/>
        <w:t>Iz državnog proračuna doznačena su sredstva u iznosu 22.645,18 € za sufianciranje projekta Zaželi.</w:t>
      </w:r>
    </w:p>
    <w:p>
      <w:pPr>
        <w:pStyle w:val="Normal"/>
        <w:bidi w:val="0"/>
        <w:jc w:val="left"/>
        <w:rPr/>
      </w:pPr>
      <w:r>
        <w:rPr/>
      </w:r>
    </w:p>
    <w:p>
      <w:pPr>
        <w:pStyle w:val="Normal"/>
        <w:keepNext w:val="true"/>
        <w:bidi w:val="0"/>
        <w:spacing w:lineRule="auto" w:line="240"/>
        <w:jc w:val="center"/>
        <w:rPr/>
      </w:pPr>
      <w:r>
        <w:rPr>
          <w:sz w:val="28"/>
        </w:rPr>
        <w:t>Bilješka 3.</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6532</w:t>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Komunalne naknade</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6532</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8.548,68</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3.420,15</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40,0</w:t>
            </w:r>
          </w:p>
        </w:tc>
      </w:tr>
    </w:tbl>
    <w:p>
      <w:pPr>
        <w:pStyle w:val="Normal"/>
        <w:bidi w:val="0"/>
        <w:spacing w:before="0" w:after="0"/>
        <w:jc w:val="left"/>
        <w:rPr/>
      </w:pPr>
      <w:r>
        <w:rPr/>
      </w:r>
    </w:p>
    <w:p>
      <w:pPr>
        <w:pStyle w:val="Normal"/>
        <w:bidi w:val="0"/>
        <w:jc w:val="left"/>
        <w:rPr/>
      </w:pPr>
      <w:r>
        <w:rPr/>
        <w:t>Naplata komunalne naknade znatno je manja nego prošle godine za isto obračunsko razdoblje jer je općina prešla na novi računovodstveni program te su tek sredinom lipnja izdane uplatnice za 2026. godinu dok se baza  nije ustrojila.</w:t>
      </w:r>
    </w:p>
    <w:p>
      <w:pPr>
        <w:pStyle w:val="Normal"/>
        <w:bidi w:val="0"/>
        <w:jc w:val="left"/>
        <w:rPr/>
      </w:pPr>
      <w:r>
        <w:rPr/>
      </w:r>
    </w:p>
    <w:p>
      <w:pPr>
        <w:pStyle w:val="Normal"/>
        <w:keepNext w:val="true"/>
        <w:bidi w:val="0"/>
        <w:spacing w:lineRule="auto" w:line="240"/>
        <w:jc w:val="center"/>
        <w:rPr/>
      </w:pPr>
      <w:r>
        <w:rPr>
          <w:sz w:val="28"/>
        </w:rPr>
        <w:t>Bilješka 4.</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3237</w:t>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Intelektualne i osobne usluge</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3237</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15.669,25</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26.540,89</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169,4</w:t>
            </w:r>
          </w:p>
        </w:tc>
      </w:tr>
    </w:tbl>
    <w:p>
      <w:pPr>
        <w:pStyle w:val="Normal"/>
        <w:bidi w:val="0"/>
        <w:spacing w:before="0" w:after="0"/>
        <w:jc w:val="left"/>
        <w:rPr/>
      </w:pPr>
      <w:r>
        <w:rPr/>
      </w:r>
    </w:p>
    <w:p>
      <w:pPr>
        <w:pStyle w:val="Normal"/>
        <w:bidi w:val="0"/>
        <w:jc w:val="left"/>
        <w:rPr/>
      </w:pPr>
      <w:r>
        <w:rPr/>
        <w:t>Znatni su troškovi a ime ugovora o djelu u odnosu na prošlu godinu iz razloga što je država ukinula javne radove te je općina bila primorana naći komunalne redare i plaćati ih preko ugovora o djelu.</w:t>
      </w:r>
    </w:p>
    <w:p>
      <w:pPr>
        <w:pStyle w:val="Normal"/>
        <w:bidi w:val="0"/>
        <w:jc w:val="left"/>
        <w:rPr/>
      </w:pPr>
      <w:r>
        <w:rPr/>
      </w:r>
    </w:p>
    <w:p>
      <w:pPr>
        <w:pStyle w:val="Normal"/>
        <w:keepNext w:val="true"/>
        <w:bidi w:val="0"/>
        <w:spacing w:lineRule="auto" w:line="240"/>
        <w:jc w:val="center"/>
        <w:rPr/>
      </w:pPr>
      <w:r>
        <w:rPr>
          <w:sz w:val="28"/>
        </w:rPr>
        <w:t>Bilješka 5.</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3238</w:t>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Računalne usluge</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3238</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2.537,51</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4.447,20</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175,3</w:t>
            </w:r>
          </w:p>
        </w:tc>
      </w:tr>
    </w:tbl>
    <w:p>
      <w:pPr>
        <w:pStyle w:val="Normal"/>
        <w:bidi w:val="0"/>
        <w:spacing w:before="0" w:after="0"/>
        <w:jc w:val="left"/>
        <w:rPr/>
      </w:pPr>
      <w:r>
        <w:rPr/>
      </w:r>
    </w:p>
    <w:p>
      <w:pPr>
        <w:pStyle w:val="Normal"/>
        <w:bidi w:val="0"/>
        <w:jc w:val="left"/>
        <w:rPr/>
      </w:pPr>
      <w:r>
        <w:rPr/>
        <w:t>Znatni su troškovi na ime računalnih usuga jer je općina prešla na novi računovodstveni program.</w:t>
      </w:r>
    </w:p>
    <w:p>
      <w:pPr>
        <w:pStyle w:val="Normal"/>
        <w:bidi w:val="0"/>
        <w:jc w:val="left"/>
        <w:rPr/>
      </w:pPr>
      <w:r>
        <w:rPr/>
      </w:r>
    </w:p>
    <w:p>
      <w:pPr>
        <w:pStyle w:val="Normal"/>
        <w:keepNext w:val="true"/>
        <w:bidi w:val="0"/>
        <w:spacing w:lineRule="auto" w:line="240"/>
        <w:jc w:val="center"/>
        <w:rPr/>
      </w:pPr>
      <w:r>
        <w:rPr>
          <w:sz w:val="28"/>
        </w:rPr>
        <w:t>Bilješka 6.</w:t>
      </w:r>
    </w:p>
    <w:tbl>
      <w:tblPr>
        <w:tblW w:w="9000" w:type="dxa"/>
        <w:jc w:val="left"/>
        <w:tblInd w:w="0" w:type="dxa"/>
        <w:tblLayout w:type="fixed"/>
        <w:tblCellMar>
          <w:top w:w="0" w:type="dxa"/>
          <w:left w:w="40" w:type="dxa"/>
          <w:bottom w:w="0" w:type="dxa"/>
          <w:right w:w="40" w:type="dxa"/>
        </w:tblCellMar>
      </w:tblPr>
      <w:tblGrid>
        <w:gridCol w:w="700"/>
        <w:gridCol w:w="3179"/>
        <w:gridCol w:w="701"/>
        <w:gridCol w:w="1860"/>
        <w:gridCol w:w="1859"/>
        <w:gridCol w:w="700"/>
      </w:tblGrid>
      <w:tr>
        <w:trPr>
          <w:cantSplit w:val="true"/>
        </w:trPr>
        <w:tc>
          <w:tcPr>
            <w:tcW w:w="700"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317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701"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1860"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prethodne godine</w:t>
            </w:r>
          </w:p>
        </w:tc>
        <w:tc>
          <w:tcPr>
            <w:tcW w:w="1859"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Ostvareno u izvještajnom razdoblju tekuće godine</w:t>
            </w:r>
          </w:p>
        </w:tc>
        <w:tc>
          <w:tcPr>
            <w:tcW w:w="700"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700"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3721</w:t>
            </w:r>
          </w:p>
        </w:tc>
        <w:tc>
          <w:tcPr>
            <w:tcW w:w="317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Naknade građanima i kućanstvima u novcu</w:t>
            </w:r>
          </w:p>
        </w:tc>
        <w:tc>
          <w:tcPr>
            <w:tcW w:w="701"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3721</w:t>
            </w:r>
          </w:p>
        </w:tc>
        <w:tc>
          <w:tcPr>
            <w:tcW w:w="1860"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17.579,40</w:t>
            </w:r>
          </w:p>
        </w:tc>
        <w:tc>
          <w:tcPr>
            <w:tcW w:w="1859"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25.748,94</w:t>
            </w:r>
          </w:p>
        </w:tc>
        <w:tc>
          <w:tcPr>
            <w:tcW w:w="700"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146,5</w:t>
            </w:r>
          </w:p>
        </w:tc>
      </w:tr>
    </w:tbl>
    <w:p>
      <w:pPr>
        <w:pStyle w:val="Normal"/>
        <w:bidi w:val="0"/>
        <w:spacing w:before="0" w:after="0"/>
        <w:jc w:val="left"/>
        <w:rPr/>
      </w:pPr>
      <w:r>
        <w:rPr/>
      </w:r>
    </w:p>
    <w:p>
      <w:pPr>
        <w:pStyle w:val="Normal"/>
        <w:bidi w:val="0"/>
        <w:jc w:val="left"/>
        <w:rPr/>
      </w:pPr>
      <w:r>
        <w:rPr/>
        <w:t>Naknade građanima i kućanstvima veće su u odnosu za isto obračunsko razdoblje prošle godine jer na temelju Odluka, početom godine isplaćene su studentima stipendije, mladim obiteljima pomoći kao i gospodarstvenicima na području općine Negoslavci.</w:t>
      </w:r>
    </w:p>
    <w:p>
      <w:pPr>
        <w:pStyle w:val="Normal"/>
        <w:bidi w:val="0"/>
        <w:jc w:val="left"/>
        <w:rPr/>
      </w:pPr>
      <w:r>
        <w:rPr/>
      </w:r>
    </w:p>
    <w:p>
      <w:pPr>
        <w:pStyle w:val="Normal"/>
        <w:keepNext w:val="true"/>
        <w:bidi w:val="0"/>
        <w:spacing w:lineRule="auto" w:line="240"/>
        <w:jc w:val="center"/>
        <w:rPr/>
      </w:pPr>
      <w:r>
        <w:rPr>
          <w:b/>
          <w:sz w:val="28"/>
        </w:rPr>
        <w:t>Izvještaj o obvezama</w:t>
      </w:r>
    </w:p>
    <w:p>
      <w:pPr>
        <w:pStyle w:val="Normal"/>
        <w:keepNext w:val="true"/>
        <w:bidi w:val="0"/>
        <w:spacing w:lineRule="auto" w:line="240"/>
        <w:jc w:val="center"/>
        <w:rPr/>
      </w:pPr>
      <w:r>
        <w:rPr>
          <w:sz w:val="28"/>
        </w:rPr>
        <w:t>Bilješka 7.</w:t>
      </w:r>
    </w:p>
    <w:tbl>
      <w:tblPr>
        <w:tblW w:w="9000" w:type="dxa"/>
        <w:jc w:val="left"/>
        <w:tblInd w:w="0" w:type="dxa"/>
        <w:tblLayout w:type="fixed"/>
        <w:tblCellMar>
          <w:top w:w="0" w:type="dxa"/>
          <w:left w:w="40" w:type="dxa"/>
          <w:bottom w:w="0" w:type="dxa"/>
          <w:right w:w="40" w:type="dxa"/>
        </w:tblCellMar>
      </w:tblPr>
      <w:tblGrid>
        <w:gridCol w:w="882"/>
        <w:gridCol w:w="4008"/>
        <w:gridCol w:w="883"/>
        <w:gridCol w:w="2345"/>
        <w:gridCol w:w="882"/>
      </w:tblGrid>
      <w:tr>
        <w:trPr>
          <w:cantSplit w:val="true"/>
        </w:trPr>
        <w:tc>
          <w:tcPr>
            <w:tcW w:w="882" w:type="dxa"/>
            <w:tcBorders>
              <w:top w:val="single" w:sz="12" w:space="0" w:color="BABABA"/>
              <w:left w:val="single" w:sz="12" w:space="0" w:color="BABAB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Račun iz rač. plana</w:t>
            </w:r>
          </w:p>
        </w:tc>
        <w:tc>
          <w:tcPr>
            <w:tcW w:w="4008"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Opis stavke</w:t>
            </w:r>
          </w:p>
        </w:tc>
        <w:tc>
          <w:tcPr>
            <w:tcW w:w="883"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Šifra</w:t>
            </w:r>
          </w:p>
        </w:tc>
        <w:tc>
          <w:tcPr>
            <w:tcW w:w="2345" w:type="dxa"/>
            <w:tcBorders>
              <w:top w:val="single" w:sz="12" w:space="0" w:color="BABABA"/>
              <w:left w:val="single" w:sz="8" w:space="0" w:color="DADADA"/>
              <w:bottom w:val="single" w:sz="8" w:space="0" w:color="BABABA"/>
              <w:right w:val="single" w:sz="8" w:space="0" w:color="DADADA"/>
            </w:tcBorders>
            <w:shd w:color="auto" w:fill="E7F0F9" w:val="clear"/>
            <w:vAlign w:val="center"/>
          </w:tcPr>
          <w:p>
            <w:pPr>
              <w:pStyle w:val="Normal"/>
              <w:keepNext w:val="true"/>
              <w:keepLines/>
              <w:widowControl w:val="false"/>
              <w:bidi w:val="0"/>
              <w:spacing w:lineRule="auto" w:line="240" w:before="0" w:after="0"/>
              <w:jc w:val="center"/>
              <w:rPr/>
            </w:pPr>
            <w:r>
              <w:rPr>
                <w:b/>
                <w:sz w:val="18"/>
              </w:rPr>
              <w:t>Iznos</w:t>
            </w:r>
          </w:p>
        </w:tc>
        <w:tc>
          <w:tcPr>
            <w:tcW w:w="882" w:type="dxa"/>
            <w:tcBorders>
              <w:top w:val="single" w:sz="12" w:space="0" w:color="BABABA"/>
              <w:left w:val="single" w:sz="8" w:space="0" w:color="DADADA"/>
              <w:bottom w:val="single" w:sz="8" w:space="0" w:color="BABABA"/>
              <w:right w:val="single" w:sz="12" w:space="0" w:color="BABABA"/>
            </w:tcBorders>
            <w:shd w:color="auto" w:fill="E7F0F9" w:val="clear"/>
            <w:vAlign w:val="center"/>
          </w:tcPr>
          <w:p>
            <w:pPr>
              <w:pStyle w:val="Normal"/>
              <w:keepNext w:val="true"/>
              <w:keepLines/>
              <w:widowControl w:val="false"/>
              <w:bidi w:val="0"/>
              <w:spacing w:lineRule="auto" w:line="240" w:before="0" w:after="0"/>
              <w:jc w:val="center"/>
              <w:rPr/>
            </w:pPr>
            <w:r>
              <w:rPr>
                <w:b/>
                <w:sz w:val="18"/>
              </w:rPr>
              <w:t>Indeks (%)</w:t>
            </w:r>
          </w:p>
        </w:tc>
      </w:tr>
      <w:tr>
        <w:trPr>
          <w:trHeight w:val="560" w:hRule="atLeast"/>
          <w:cantSplit w:val="true"/>
        </w:trPr>
        <w:tc>
          <w:tcPr>
            <w:tcW w:w="882" w:type="dxa"/>
            <w:tcBorders>
              <w:top w:val="single" w:sz="8" w:space="0" w:color="BABABA"/>
              <w:left w:val="single" w:sz="12" w:space="0" w:color="BABAB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r>
          </w:p>
        </w:tc>
        <w:tc>
          <w:tcPr>
            <w:tcW w:w="4008"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Stanje dospjelih obveza na kraju izvještajnog razdoblja (šifre V008+D23+D24 + 'D dio 25,26' + D27)</w:t>
            </w:r>
          </w:p>
        </w:tc>
        <w:tc>
          <w:tcPr>
            <w:tcW w:w="883"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left"/>
              <w:rPr/>
            </w:pPr>
            <w:r>
              <w:rPr>
                <w:sz w:val="18"/>
              </w:rPr>
              <w:t>V007</w:t>
            </w:r>
          </w:p>
        </w:tc>
        <w:tc>
          <w:tcPr>
            <w:tcW w:w="2345" w:type="dxa"/>
            <w:tcBorders>
              <w:top w:val="single" w:sz="8" w:space="0" w:color="BABABA"/>
              <w:left w:val="single" w:sz="8" w:space="0" w:color="DADADA"/>
              <w:bottom w:val="single" w:sz="12" w:space="0" w:color="BABABA"/>
              <w:right w:val="single" w:sz="8" w:space="0" w:color="DADADA"/>
            </w:tcBorders>
            <w:vAlign w:val="center"/>
          </w:tcPr>
          <w:p>
            <w:pPr>
              <w:pStyle w:val="Normal"/>
              <w:keepNext w:val="true"/>
              <w:keepLines/>
              <w:widowControl w:val="false"/>
              <w:bidi w:val="0"/>
              <w:spacing w:lineRule="auto" w:line="240" w:before="0" w:after="0"/>
              <w:jc w:val="right"/>
              <w:rPr/>
            </w:pPr>
            <w:r>
              <w:rPr>
                <w:sz w:val="18"/>
              </w:rPr>
              <w:t>0,00</w:t>
            </w:r>
          </w:p>
        </w:tc>
        <w:tc>
          <w:tcPr>
            <w:tcW w:w="882" w:type="dxa"/>
            <w:tcBorders>
              <w:top w:val="single" w:sz="8" w:space="0" w:color="BABABA"/>
              <w:left w:val="single" w:sz="8" w:space="0" w:color="DADADA"/>
              <w:bottom w:val="single" w:sz="12" w:space="0" w:color="BABABA"/>
              <w:right w:val="single" w:sz="12" w:space="0" w:color="BABABA"/>
            </w:tcBorders>
            <w:vAlign w:val="center"/>
          </w:tcPr>
          <w:p>
            <w:pPr>
              <w:pStyle w:val="Normal"/>
              <w:keepNext w:val="true"/>
              <w:keepLines/>
              <w:widowControl w:val="false"/>
              <w:bidi w:val="0"/>
              <w:spacing w:lineRule="auto" w:line="240" w:before="0" w:after="0"/>
              <w:jc w:val="right"/>
              <w:rPr/>
            </w:pPr>
            <w:r>
              <w:rPr>
                <w:sz w:val="18"/>
              </w:rPr>
              <w:t>-</w:t>
            </w:r>
          </w:p>
        </w:tc>
      </w:tr>
    </w:tbl>
    <w:p>
      <w:pPr>
        <w:pStyle w:val="Normal"/>
        <w:bidi w:val="0"/>
        <w:spacing w:before="0" w:after="0"/>
        <w:jc w:val="left"/>
        <w:rPr/>
      </w:pPr>
      <w:r>
        <w:rPr/>
      </w:r>
    </w:p>
    <w:p>
      <w:pPr>
        <w:pStyle w:val="Normal"/>
        <w:bidi w:val="0"/>
        <w:jc w:val="left"/>
        <w:rPr/>
      </w:pPr>
      <w:r>
        <w:rPr/>
        <w:t>Stanje obveza na kraju izvještajnog razdoblja iznose 64.392,42 € i sve su nedospjele obveze. Većina obveza odnosi se na plaću djelatnika općine koja se odnosi na mjesec lianj a isplaćena je u mjesecu srpnju. Također i obveze za rashode poslovanja odnose se na račune za mjesec lipanj a dospječe im je u mjesecu srpnju.</w:t>
      </w:r>
    </w:p>
    <w:p>
      <w:pPr>
        <w:pStyle w:val="Normal"/>
        <w:bidi w:val="0"/>
        <w:jc w:val="left"/>
        <w:rPr/>
      </w:pPr>
      <w:r>
        <w:rPr/>
      </w:r>
    </w:p>
    <w:p>
      <w:pPr>
        <w:pStyle w:val="Normal"/>
        <w:keepNext w:val="true"/>
        <w:bidi w:val="0"/>
        <w:spacing w:lineRule="auto" w:line="240"/>
        <w:jc w:val="center"/>
        <w:rPr/>
      </w:pPr>
      <w:r>
        <w:rPr>
          <w:sz w:val="28"/>
        </w:rPr>
        <w:t>Bilješka 8.</w:t>
      </w:r>
    </w:p>
    <w:p>
      <w:pPr>
        <w:pStyle w:val="Normal"/>
        <w:bidi w:val="0"/>
        <w:spacing w:lineRule="auto" w:line="240"/>
        <w:jc w:val="both"/>
        <w:rPr/>
      </w:pPr>
      <w:r>
        <w:rPr>
          <w:b/>
          <w:sz w:val="24"/>
        </w:rPr>
        <w:t>EU izvještaj</w:t>
      </w:r>
    </w:p>
    <w:p>
      <w:pPr>
        <w:pStyle w:val="Normal"/>
        <w:bidi w:val="0"/>
        <w:jc w:val="left"/>
        <w:rPr/>
      </w:pPr>
      <w:r>
        <w:rPr/>
        <w:t>U 2026. godini na ime projekta "Zaželi" doznačena su sredstva u ukupno iznosu 150.967,84 € i to nacionalna sredstva u iznosu 22.645,18€ i EU sredstva u iznosu 128.322,66 €. Sredstva su trošena za plaće 21 djelatnika te je u mjesecu srpnju podnesen ZNS za povlačenjem sredstava.</w:t>
      </w:r>
    </w:p>
    <w:p>
      <w:pPr>
        <w:pStyle w:val="Normal"/>
        <w:bidi w:val="0"/>
        <w:jc w:val="left"/>
        <w:rPr/>
      </w:pPr>
      <w:r>
        <w:rPr/>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25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lang w:val="hr-HR" w:eastAsia="zh-CN" w:bidi="hi-IN"/>
      </w:rPr>
    </w:rPrDefault>
    <w:pPrDefault>
      <w:pPr>
        <w:suppressAutoHyphens w:val="true"/>
      </w:pPr>
    </w:pPrDefault>
  </w:docDefaults>
  <w:style w:type="paragraph" w:styleId="Normal" w:default="1">
    <w:name w:val="Normal"/>
    <w:qFormat/>
    <w:pPr>
      <w:widowControl w:val="false"/>
      <w:bidi w:val="0"/>
    </w:pPr>
    <w:rPr>
      <w:rFonts w:ascii="Times New Roman" w:hAnsi="Times New Roman" w:eastAsia="NSimSun" w:cs="Arial"/>
      <w:color w:val="auto"/>
      <w:kern w:val="0"/>
      <w:sz w:val="24"/>
      <w:szCs w:val="20"/>
      <w:lang w:val="hr-HR" w:eastAsia="zh-CN" w:bidi="hi-IN"/>
    </w:rPr>
  </w:style>
  <w:style w:type="paragraph" w:styleId="Stilnaslova">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LibreOffice/7.4.1.2$Windows_X86_64 LibreOffice_project/3c58a8f3a960df8bc8fd77b461821e42c061c5f0</Application>
  <AppVersion>15.0000</AppVersion>
  <Pages>4</Pages>
  <Words>683</Words>
  <Characters>3906</Characters>
  <CharactersWithSpaces>4434</CharactersWithSpaces>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hr-HR</dc:language>
  <cp:lastModifiedBy/>
  <cp:revision>0</cp:revision>
  <dc:subject/>
  <dc:title/>
</cp:coreProperties>
</file>