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2196-19-02-26-27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25. lipnja 2026.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ind w:firstLine="720"/>
        <w:jc w:val="both"/>
        <w:rPr/>
      </w:pP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48 i 49 Zakona o predškolskom odgoju i obrazovanju („Narodne novine“ broj </w:t>
      </w:r>
      <w:hyperlink r:id="rId3">
        <w:r>
          <w:rPr>
            <w:rFonts w:eastAsia="Calibri" w:cs="Times New Roman" w:ascii="Times New Roman" w:hAnsi="Times New Roman"/>
            <w:szCs w:val="24"/>
            <w:lang w:val="hr-HR"/>
          </w:rPr>
          <w:t>10/97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4">
        <w:r>
          <w:rPr>
            <w:rFonts w:eastAsia="Calibri" w:cs="Times New Roman" w:ascii="Times New Roman" w:hAnsi="Times New Roman"/>
            <w:szCs w:val="24"/>
            <w:lang w:val="hr-HR"/>
          </w:rPr>
          <w:t>107/07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5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6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57/22, 101/23, 145/23, 145/24, 146/25 i 22/26), u svezi sa člankom 143. Zakona o odgoju i obrazovanju u osnovnoj i srednjoj školi („Narodne novine“ broj </w:t>
      </w:r>
      <w:hyperlink r:id="rId7">
        <w:r>
          <w:rPr>
            <w:rFonts w:eastAsia="Calibri" w:cs="Times New Roman" w:ascii="Times New Roman" w:hAnsi="Times New Roman"/>
            <w:szCs w:val="24"/>
            <w:lang w:val="hr-HR"/>
          </w:rPr>
          <w:t>87/08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8">
        <w:r>
          <w:rPr>
            <w:rFonts w:eastAsia="Calibri" w:cs="Times New Roman" w:ascii="Times New Roman" w:hAnsi="Times New Roman"/>
            <w:szCs w:val="24"/>
            <w:lang w:val="hr-HR"/>
          </w:rPr>
          <w:t>86/09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9">
        <w:r>
          <w:rPr>
            <w:rFonts w:eastAsia="Calibri" w:cs="Times New Roman" w:ascii="Times New Roman" w:hAnsi="Times New Roman"/>
            <w:szCs w:val="24"/>
            <w:lang w:val="hr-HR"/>
          </w:rPr>
          <w:t>92/10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0">
        <w:r>
          <w:rPr>
            <w:rFonts w:eastAsia="Calibri" w:cs="Times New Roman" w:ascii="Times New Roman" w:hAnsi="Times New Roman"/>
            <w:szCs w:val="24"/>
            <w:lang w:val="hr-HR"/>
          </w:rPr>
          <w:t>105/10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1">
        <w:r>
          <w:rPr>
            <w:rFonts w:eastAsia="Calibri" w:cs="Times New Roman" w:ascii="Times New Roman" w:hAnsi="Times New Roman"/>
            <w:szCs w:val="24"/>
            <w:lang w:val="hr-HR"/>
          </w:rPr>
          <w:t>90/11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2">
        <w:r>
          <w:rPr>
            <w:rFonts w:eastAsia="Calibri" w:cs="Times New Roman" w:ascii="Times New Roman" w:hAnsi="Times New Roman"/>
            <w:szCs w:val="24"/>
            <w:lang w:val="hr-HR"/>
          </w:rPr>
          <w:t>5/12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3">
        <w:r>
          <w:rPr>
            <w:rFonts w:eastAsia="Calibri" w:cs="Times New Roman" w:ascii="Times New Roman" w:hAnsi="Times New Roman"/>
            <w:szCs w:val="24"/>
            <w:lang w:val="hr-HR"/>
          </w:rPr>
          <w:t>16/12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4">
        <w:r>
          <w:rPr>
            <w:rFonts w:eastAsia="Calibri" w:cs="Times New Roman" w:ascii="Times New Roman" w:hAnsi="Times New Roman"/>
            <w:szCs w:val="24"/>
            <w:lang w:val="hr-HR"/>
          </w:rPr>
          <w:t>86/12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5">
        <w:r>
          <w:rPr>
            <w:rFonts w:eastAsia="Calibri" w:cs="Times New Roman" w:ascii="Times New Roman" w:hAnsi="Times New Roman"/>
            <w:szCs w:val="24"/>
            <w:lang w:val="hr-HR"/>
          </w:rPr>
          <w:t>126/12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6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7">
        <w:r>
          <w:rPr>
            <w:rFonts w:eastAsia="Calibri" w:cs="Times New Roman" w:ascii="Times New Roman" w:hAnsi="Times New Roman"/>
            <w:szCs w:val="24"/>
            <w:lang w:val="hr-HR"/>
          </w:rPr>
          <w:t>152/14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8">
        <w:r>
          <w:rPr>
            <w:rFonts w:eastAsia="Calibri" w:cs="Times New Roman" w:ascii="Times New Roman" w:hAnsi="Times New Roman"/>
            <w:szCs w:val="24"/>
            <w:lang w:val="hr-HR"/>
          </w:rPr>
          <w:t>07/17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9" w:tgtFrame="_blank">
        <w:r>
          <w:rPr>
            <w:rFonts w:eastAsia="Calibri" w:cs="Times New Roman" w:ascii="Times New Roman" w:hAnsi="Times New Roman"/>
            <w:szCs w:val="24"/>
            <w:lang w:val="hr-HR"/>
          </w:rPr>
          <w:t>68/18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0" w:tgtFrame="_blank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1">
        <w:r>
          <w:rPr>
            <w:rFonts w:eastAsia="Calibri" w:cs="Times New Roman" w:ascii="Times New Roman" w:hAnsi="Times New Roman"/>
            <w:szCs w:val="24"/>
            <w:lang w:val="hr-HR"/>
          </w:rPr>
          <w:t>64/20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151/22, 155/23 i 156/23) i na temelju članka </w:t>
      </w:r>
      <w:r>
        <w:rPr>
          <w:rFonts w:ascii="Times New Roman" w:hAnsi="Times New Roman"/>
          <w:lang w:val="hr-HR"/>
        </w:rPr>
        <w:t>19., točke 2. Statuta Općine Negoslavci („Službeni glasnik Općine Negoslavci” broj 4/25)</w:t>
      </w:r>
      <w:r>
        <w:rPr>
          <w:rFonts w:eastAsia="Calibri" w:cs="Times New Roman" w:ascii="Times New Roman" w:hAnsi="Times New Roman"/>
          <w:szCs w:val="24"/>
          <w:lang w:val="hr-HR"/>
        </w:rPr>
        <w:t>, Općinsko vijeće Općine Negoslavci na svojoj redovnoj sjednici održano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j dana 25.06.2026. godine d</w:t>
      </w:r>
      <w:r>
        <w:rPr>
          <w:rFonts w:eastAsia="Calibri" w:cs="Times New Roman" w:ascii="Times New Roman" w:hAnsi="Times New Roman"/>
          <w:szCs w:val="24"/>
          <w:lang w:val="hr-HR"/>
        </w:rPr>
        <w:t>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Izmjene i dopune </w:t>
      </w:r>
      <w:bookmarkStart w:id="0" w:name="_GoBack"/>
      <w:bookmarkStart w:id="1" w:name="_Toc62727858"/>
      <w:r>
        <w:rPr>
          <w:rFonts w:eastAsia="Calibri" w:cs="Times New Roman" w:ascii="Times New Roman" w:hAnsi="Times New Roman"/>
          <w:b/>
          <w:szCs w:val="24"/>
          <w:lang w:val="hr-HR"/>
        </w:rPr>
        <w:t>Programa javnih potreba u obrazovanju Općine Negoslavci za 2026. godinu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Mijenja se točka I. Programa javnih potreba u obrazovanju Općine Negoslavci za 2026. godinu („Službeni glasnik Općine Negoslavci” broj 11/25) i glasi:</w:t>
      </w: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 w:val="false"/>
          <w:szCs w:val="24"/>
          <w:lang w:val="hr-HR"/>
        </w:rPr>
        <w:tab/>
        <w:t>„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Za ostvarenje Programa javnih potreba u obrazovanju Općine Negoslavci za 2026. godinu pla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nira se: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Predškolsko obrazovanje</w:t>
        <w:tab/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lang w:val="hr-HR"/>
        </w:rPr>
        <w:t xml:space="preserve">            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Obuća za predškolce </w:t>
        <w:tab/>
        <w:tab/>
        <w:tab/>
        <w:tab/>
        <w:tab/>
        <w:t xml:space="preserve">           550,00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                                                                   16.500,00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Pribor, bojanke i drugo                                                           2.000,00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Troškovi sufinanciranja prehrane predškole</w:t>
        <w:tab/>
        <w:t xml:space="preserve">                     3.000.00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Ekskurzije                                                                               1.500,00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održavanje i opremanje                                4.000,00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Srednjoškolsko obrazovanje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javnog prijevoza srednjoškolskih učenika         5.000,00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Osnovno školstvo                                                                                           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Tekuće donacije OŠ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  1.500,00 </w:t>
      </w:r>
      <w:r>
        <w:rPr>
          <w:rFonts w:eastAsia="Calibri" w:cs="Times New Roman" w:ascii="Times New Roman" w:hAnsi="Times New Roman"/>
          <w:color w:val="000000"/>
          <w:sz w:val="22"/>
          <w:szCs w:val="24"/>
          <w:lang w:val="hr-HR"/>
        </w:rPr>
        <w:t xml:space="preserve">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Obuća za školarce</w:t>
        <w:tab/>
        <w:tab/>
        <w:tab/>
        <w:tab/>
        <w:tab/>
        <w:t xml:space="preserve">            2.300,00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ekskurzije učenicima</w:t>
        <w:tab/>
        <w:tab/>
        <w:tab/>
        <w:t xml:space="preserve">           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15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.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0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škole plivanja</w:t>
        <w:tab/>
        <w:tab/>
        <w:tab/>
        <w:tab/>
        <w:t xml:space="preserve">                   0,00 EUR</w:t>
      </w:r>
    </w:p>
    <w:p>
      <w:pPr>
        <w:pStyle w:val="Normal"/>
        <w:bidi w:val="0"/>
        <w:jc w:val="both"/>
        <w:rPr>
          <w:color w:val="C9211E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 xml:space="preserve">           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UKUPNO:</w:t>
        <w:tab/>
        <w:tab/>
        <w:tab/>
        <w:tab/>
        <w:tab/>
        <w:tab/>
        <w:tab/>
        <w:t xml:space="preserve">          51.350,00 EUR</w:t>
      </w:r>
      <w:r>
        <w:rPr>
          <w:rFonts w:eastAsia="Calibri" w:cs="Times New Roman" w:ascii="Times New Roman" w:hAnsi="Times New Roman"/>
          <w:b/>
          <w:color w:val="C9211E"/>
          <w:sz w:val="22"/>
          <w:szCs w:val="22"/>
          <w:lang w:val="hr-HR"/>
        </w:rPr>
        <w:t>.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</w:t>
      </w:r>
    </w:p>
    <w:p>
      <w:pPr>
        <w:pStyle w:val="Normal"/>
        <w:widowControl w:val="false"/>
        <w:suppressAutoHyphens w:val="true"/>
        <w:bidi w:val="0"/>
        <w:spacing w:before="0" w:after="120"/>
        <w:ind w:firstLine="7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zh-CN"/>
        </w:rPr>
        <w:t>Ostale odredbe Programa ne mijenjaju se, niti se dopunjuju.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Ove Izmjene i dopune Programa stupaju na snagu dan nakon dana objave u Službenom glasniku Općine Negoslavci.</w:t>
      </w:r>
    </w:p>
    <w:p>
      <w:pPr>
        <w:pStyle w:val="Normal"/>
        <w:bidi w:val="0"/>
        <w:ind w:firstLine="708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zakon.hr/cms.htm?id=477" TargetMode="External"/><Relationship Id="rId4" Type="http://schemas.openxmlformats.org/officeDocument/2006/relationships/hyperlink" Target="https://www.zakon.hr/cms.htm?id=478" TargetMode="External"/><Relationship Id="rId5" Type="http://schemas.openxmlformats.org/officeDocument/2006/relationships/hyperlink" Target="https://www.zakon.hr/cms.htm?id=479" TargetMode="External"/><Relationship Id="rId6" Type="http://schemas.openxmlformats.org/officeDocument/2006/relationships/hyperlink" Target="https://www.zakon.hr/cms.htm?id=40813" TargetMode="External"/><Relationship Id="rId7" Type="http://schemas.openxmlformats.org/officeDocument/2006/relationships/hyperlink" Target="https://www.zakon.hr/cms.htm?id=66" TargetMode="External"/><Relationship Id="rId8" Type="http://schemas.openxmlformats.org/officeDocument/2006/relationships/hyperlink" Target="https://www.zakon.hr/cms.htm?id=67" TargetMode="External"/><Relationship Id="rId9" Type="http://schemas.openxmlformats.org/officeDocument/2006/relationships/hyperlink" Target="https://www.zakon.hr/cms.htm?id=68" TargetMode="External"/><Relationship Id="rId10" Type="http://schemas.openxmlformats.org/officeDocument/2006/relationships/hyperlink" Target="https://www.zakon.hr/cms.htm?id=69" TargetMode="External"/><Relationship Id="rId11" Type="http://schemas.openxmlformats.org/officeDocument/2006/relationships/hyperlink" Target="https://www.zakon.hr/cms.htm?id=70" TargetMode="External"/><Relationship Id="rId12" Type="http://schemas.openxmlformats.org/officeDocument/2006/relationships/hyperlink" Target="https://www.zakon.hr/cms.htm?id=71" TargetMode="External"/><Relationship Id="rId13" Type="http://schemas.openxmlformats.org/officeDocument/2006/relationships/hyperlink" Target="https://www.zakon.hr/cms.htm?id=72" TargetMode="External"/><Relationship Id="rId14" Type="http://schemas.openxmlformats.org/officeDocument/2006/relationships/hyperlink" Target="https://www.zakon.hr/cms.htm?id=73" TargetMode="External"/><Relationship Id="rId15" Type="http://schemas.openxmlformats.org/officeDocument/2006/relationships/hyperlink" Target="https://www.zakon.hr/cms.htm?id=182" TargetMode="External"/><Relationship Id="rId16" Type="http://schemas.openxmlformats.org/officeDocument/2006/relationships/hyperlink" Target="https://www.zakon.hr/cms.htm?id=480" TargetMode="External"/><Relationship Id="rId17" Type="http://schemas.openxmlformats.org/officeDocument/2006/relationships/hyperlink" Target="https://www.zakon.hr/cms.htm?id=1671" TargetMode="External"/><Relationship Id="rId18" Type="http://schemas.openxmlformats.org/officeDocument/2006/relationships/hyperlink" Target="https://www.zakon.hr/cms.htm?id=17751" TargetMode="External"/><Relationship Id="rId19" Type="http://schemas.openxmlformats.org/officeDocument/2006/relationships/hyperlink" Target="https://www.zakon.hr/cms.htm?id=31279" TargetMode="External"/><Relationship Id="rId20" Type="http://schemas.openxmlformats.org/officeDocument/2006/relationships/hyperlink" Target="https://www.zakon.hr/cms.htm?id=40815" TargetMode="External"/><Relationship Id="rId21" Type="http://schemas.openxmlformats.org/officeDocument/2006/relationships/hyperlink" Target="https://www.zakon.hr/cms.htm?id=44620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</TotalTime>
  <Application>LibreOffice/7.4.1.2$Windows_X86_64 LibreOffice_project/3c58a8f3a960df8bc8fd77b461821e42c061c5f0</Application>
  <AppVersion>15.0000</AppVersion>
  <Pages>1</Pages>
  <Words>272</Words>
  <Characters>1643</Characters>
  <CharactersWithSpaces>2405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2026-07-16T10:54:27Z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