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lang w:val="hr-HR"/>
        </w:rPr>
      </w:pPr>
      <w:r>
        <w:rPr>
          <w:rFonts w:eastAsia="Calibri" w:cs="Times New Roman" w:ascii="Times New Roman" w:hAnsi="Times New Roman"/>
          <w:b/>
          <w:lang w:val="hr-HR"/>
        </w:rPr>
        <w:tab/>
        <w:tab/>
      </w:r>
      <w:r>
        <w:rPr/>
        <w:drawing>
          <wp:inline distT="0" distB="0" distL="0" distR="0">
            <wp:extent cx="476250" cy="600075"/>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2"/>
                    <a:stretch>
                      <a:fillRect/>
                    </a:stretch>
                  </pic:blipFill>
                  <pic:spPr bwMode="auto">
                    <a:xfrm>
                      <a:off x="0" y="0"/>
                      <a:ext cx="476250" cy="600075"/>
                    </a:xfrm>
                    <a:prstGeom prst="rect">
                      <a:avLst/>
                    </a:prstGeom>
                  </pic:spPr>
                </pic:pic>
              </a:graphicData>
            </a:graphic>
          </wp:inline>
        </w:drawing>
      </w:r>
    </w:p>
    <w:p>
      <w:pPr>
        <w:pStyle w:val="Normal"/>
        <w:jc w:val="both"/>
        <w:rPr>
          <w:rFonts w:ascii="Times New Roman" w:hAnsi="Times New Roman"/>
          <w:lang w:val="hr-HR"/>
        </w:rPr>
      </w:pPr>
      <w:r>
        <w:rPr>
          <w:rFonts w:eastAsia="Calibri" w:cs="Times New Roman" w:ascii="Times New Roman" w:hAnsi="Times New Roman"/>
          <w:b/>
          <w:lang w:val="hr-HR"/>
        </w:rPr>
        <w:tab/>
        <w:t>REPUBLIKA HRVATSKA</w:t>
      </w:r>
    </w:p>
    <w:p>
      <w:pPr>
        <w:pStyle w:val="Normal"/>
        <w:jc w:val="both"/>
        <w:rPr>
          <w:rFonts w:ascii="Times New Roman" w:hAnsi="Times New Roman"/>
          <w:lang w:val="hr-HR"/>
        </w:rPr>
      </w:pPr>
      <w:r>
        <w:rPr>
          <w:rFonts w:eastAsia="Calibri" w:cs="Times New Roman" w:ascii="Times New Roman" w:hAnsi="Times New Roman"/>
          <w:b/>
          <w:lang w:val="hr-HR"/>
        </w:rPr>
        <w:t>VUKOVARSKO-SRIJEMSKA ŽUPANIJA</w:t>
      </w:r>
    </w:p>
    <w:p>
      <w:pPr>
        <w:pStyle w:val="Normal"/>
        <w:jc w:val="both"/>
        <w:rPr>
          <w:rFonts w:ascii="Times New Roman" w:hAnsi="Times New Roman"/>
          <w:lang w:val="hr-HR"/>
        </w:rPr>
      </w:pPr>
      <w:r>
        <w:rPr>
          <w:rFonts w:eastAsia="Calibri" w:cs="Times New Roman" w:ascii="Times New Roman" w:hAnsi="Times New Roman"/>
          <w:b/>
          <w:lang w:val="hr-HR"/>
        </w:rPr>
        <w:t>OPĆINA NEGOSLAVCI</w:t>
      </w:r>
    </w:p>
    <w:p>
      <w:pPr>
        <w:pStyle w:val="Normal"/>
        <w:jc w:val="both"/>
        <w:rPr>
          <w:rFonts w:ascii="Times New Roman" w:hAnsi="Times New Roman"/>
          <w:lang w:val="hr-HR"/>
        </w:rPr>
      </w:pPr>
      <w:r>
        <w:rPr>
          <w:rFonts w:eastAsia="Calibri" w:cs="Times New Roman" w:ascii="Times New Roman" w:hAnsi="Times New Roman"/>
          <w:b/>
          <w:lang w:val="hr-HR"/>
        </w:rPr>
        <w:t>Općinsko vijeće</w:t>
      </w:r>
    </w:p>
    <w:p>
      <w:pPr>
        <w:pStyle w:val="Normal"/>
        <w:jc w:val="both"/>
        <w:rPr>
          <w:rFonts w:ascii="Times New Roman" w:hAnsi="Times New Roman"/>
          <w:color w:val="000000"/>
          <w:lang w:val="hr-HR"/>
        </w:rPr>
      </w:pPr>
      <w:r>
        <w:rPr>
          <w:rFonts w:eastAsia="Calibri" w:cs="Times New Roman" w:ascii="Times New Roman" w:hAnsi="Times New Roman"/>
          <w:b/>
          <w:color w:val="000000"/>
          <w:lang w:val="hr-HR"/>
        </w:rPr>
        <w:t xml:space="preserve">KLASA: </w:t>
      </w:r>
      <w:r>
        <w:rPr>
          <w:rFonts w:eastAsia="Calibri" w:cs="Times New Roman" w:ascii="Times New Roman" w:hAnsi="Times New Roman"/>
          <w:color w:val="000000"/>
          <w:lang w:val="hr-HR"/>
        </w:rPr>
        <w:t>400-02/25-01/01</w:t>
      </w:r>
    </w:p>
    <w:p>
      <w:pPr>
        <w:pStyle w:val="Normal"/>
        <w:jc w:val="both"/>
        <w:rPr>
          <w:color w:val="000000"/>
        </w:rPr>
      </w:pPr>
      <w:r>
        <w:rPr>
          <w:rFonts w:eastAsia="Calibri" w:cs="Times New Roman" w:ascii="Times New Roman" w:hAnsi="Times New Roman"/>
          <w:b/>
          <w:color w:val="000000"/>
          <w:lang w:val="hr-HR"/>
        </w:rPr>
        <w:t xml:space="preserve">URBROJ: </w:t>
      </w:r>
      <w:r>
        <w:rPr>
          <w:rFonts w:eastAsia="Calibri" w:cs="Times New Roman" w:ascii="Times New Roman" w:hAnsi="Times New Roman"/>
          <w:color w:val="000000"/>
          <w:lang w:val="hr-HR"/>
        </w:rPr>
        <w:t>2196-19-02-26-</w:t>
      </w:r>
      <w:r>
        <w:rPr>
          <w:rFonts w:eastAsia="Calibri" w:cs="Times New Roman" w:ascii="Times New Roman" w:hAnsi="Times New Roman"/>
          <w:color w:val="000000"/>
          <w:lang w:val="hr-HR"/>
        </w:rPr>
        <w:t>2</w:t>
      </w:r>
      <w:r>
        <w:rPr>
          <w:rFonts w:eastAsia="Calibri" w:cs="Times New Roman" w:ascii="Times New Roman" w:hAnsi="Times New Roman"/>
          <w:color w:val="000000"/>
          <w:lang w:val="hr-HR"/>
        </w:rPr>
        <w:t>6</w:t>
      </w:r>
    </w:p>
    <w:p>
      <w:pPr>
        <w:pStyle w:val="Normal"/>
        <w:jc w:val="both"/>
        <w:rPr>
          <w:color w:val="000000"/>
        </w:rPr>
      </w:pPr>
      <w:r>
        <w:rPr>
          <w:rFonts w:eastAsia="Calibri" w:cs="Times New Roman" w:ascii="Times New Roman" w:hAnsi="Times New Roman"/>
          <w:b/>
          <w:color w:val="000000"/>
          <w:lang w:val="hr-HR"/>
        </w:rPr>
        <w:t xml:space="preserve">Negoslavci, </w:t>
      </w:r>
      <w:r>
        <w:rPr>
          <w:rFonts w:eastAsia="Calibri" w:cs="Times New Roman" w:ascii="Times New Roman" w:hAnsi="Times New Roman"/>
          <w:color w:val="000000"/>
          <w:lang w:val="hr-HR"/>
        </w:rPr>
        <w:t xml:space="preserve">25. lipnja 2026. </w:t>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Na temelju članka 72. Zakona o komunalnom gospodarstvu („Narodne novine“ broj 68/18, 110/18, 32/20 i 145/24) te članka 19., točke 2. Statuta Općine Negoslavci („Službeni glasnik Općine Negoslavci” broj 4/25), Općinsko vijeće Općine Negoslavci na svojoj redovnoj sjednici održanoj dan</w:t>
      </w:r>
      <w:r>
        <w:rPr>
          <w:rFonts w:eastAsia="Calibri" w:cs="Times New Roman" w:ascii="Times New Roman" w:hAnsi="Times New Roman"/>
          <w:color w:val="000000"/>
          <w:lang w:val="hr-HR"/>
        </w:rPr>
        <w:t>a 25.06.2026. godine d</w:t>
      </w:r>
      <w:r>
        <w:rPr>
          <w:rFonts w:eastAsia="Calibri" w:cs="Times New Roman" w:ascii="Times New Roman" w:hAnsi="Times New Roman"/>
          <w:lang w:val="hr-HR"/>
        </w:rPr>
        <w:t>onosi</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p>
      <w:pPr>
        <w:pStyle w:val="Normal"/>
        <w:keepNext w:val="true"/>
        <w:numPr>
          <w:ilvl w:val="0"/>
          <w:numId w:val="0"/>
        </w:numPr>
        <w:ind w:left="0" w:hanging="0"/>
        <w:jc w:val="center"/>
        <w:outlineLvl w:val="0"/>
        <w:rPr>
          <w:rFonts w:ascii="Times New Roman" w:hAnsi="Times New Roman"/>
          <w:lang w:val="hr-HR"/>
        </w:rPr>
      </w:pPr>
      <w:r>
        <w:rPr>
          <w:rFonts w:eastAsia="Calibri" w:cs="Times New Roman" w:ascii="Times New Roman" w:hAnsi="Times New Roman"/>
          <w:b/>
          <w:lang w:val="hr-HR"/>
        </w:rPr>
        <w:t xml:space="preserve">Izmjene i dopune </w:t>
      </w:r>
      <w:bookmarkStart w:id="0" w:name="_Toc62727868"/>
      <w:r>
        <w:rPr>
          <w:rFonts w:eastAsia="Calibri" w:cs="Times New Roman" w:ascii="Times New Roman" w:hAnsi="Times New Roman"/>
          <w:b/>
          <w:lang w:val="hr-HR"/>
        </w:rPr>
        <w:t>Programa održavanja komunalne infrastrukture za 2026. godinu</w:t>
      </w:r>
      <w:bookmarkEnd w:id="0"/>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1.</w:t>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b w:val="false"/>
          <w:bCs w:val="false"/>
          <w:lang w:val="hr-HR"/>
        </w:rPr>
        <w:t>Mijenja se članak 2. Programa održavanja komunalne infrastrukture za 2026. godine („Službeni glasnik Općine Negoslavci” broj 11/25) i glasi:</w:t>
        <w:tab/>
      </w:r>
    </w:p>
    <w:p>
      <w:pPr>
        <w:pStyle w:val="Normal"/>
        <w:jc w:val="both"/>
        <w:rPr>
          <w:rFonts w:ascii="Times New Roman" w:hAnsi="Times New Roman"/>
          <w:lang w:val="hr-HR"/>
        </w:rPr>
      </w:pPr>
      <w:r>
        <w:rPr>
          <w:rFonts w:eastAsia="Calibri" w:cs="Times New Roman" w:ascii="Times New Roman" w:hAnsi="Times New Roman"/>
          <w:b w:val="false"/>
          <w:bCs w:val="false"/>
          <w:lang w:val="hr-HR"/>
        </w:rPr>
        <w:tab/>
        <w:t>„Održavanje komunalne infrastrukture se utvrđuje po djelatnostima kako slijedi:</w:t>
      </w:r>
    </w:p>
    <w:p>
      <w:pPr>
        <w:pStyle w:val="Normal"/>
        <w:jc w:val="both"/>
        <w:rPr>
          <w:b w:val="false"/>
          <w:b w:val="false"/>
          <w:bCs w:val="false"/>
        </w:rPr>
      </w:pPr>
      <w:r>
        <w:rPr>
          <w:rFonts w:eastAsia="Calibri" w:cs="Times New Roman" w:ascii="Times New Roman" w:hAnsi="Times New Roman"/>
          <w:b w:val="false"/>
          <w:bCs w:val="false"/>
        </w:rPr>
        <w:t>1. održavanje nerazvrstanih cesta</w:t>
      </w:r>
    </w:p>
    <w:p>
      <w:pPr>
        <w:pStyle w:val="Normal"/>
        <w:jc w:val="both"/>
        <w:rPr>
          <w:b w:val="false"/>
          <w:b w:val="false"/>
          <w:bCs w:val="false"/>
        </w:rPr>
      </w:pPr>
      <w:r>
        <w:rPr>
          <w:rFonts w:eastAsia="Calibri" w:cs="Times New Roman" w:ascii="Times New Roman" w:hAnsi="Times New Roman"/>
          <w:b w:val="false"/>
          <w:bCs w:val="false"/>
        </w:rPr>
        <w:t>- Tekuće održavanje nerazvrstanih cesta i čišćenje snijega                     5.840,00 EUR</w:t>
      </w:r>
    </w:p>
    <w:p>
      <w:pPr>
        <w:pStyle w:val="Normal"/>
        <w:jc w:val="both"/>
        <w:rPr>
          <w:b w:val="false"/>
          <w:b w:val="false"/>
          <w:bCs w:val="false"/>
        </w:rPr>
      </w:pPr>
      <w:r>
        <w:rPr>
          <w:rFonts w:eastAsia="Calibri" w:cs="Times New Roman" w:ascii="Times New Roman" w:hAnsi="Times New Roman"/>
          <w:b w:val="false"/>
          <w:bCs w:val="false"/>
        </w:rPr>
        <w:t>2. održavanje javnih površina na kojima nije dopušten promet motornim vozilima</w:t>
      </w:r>
    </w:p>
    <w:p>
      <w:pPr>
        <w:pStyle w:val="Normal"/>
        <w:jc w:val="both"/>
        <w:rPr>
          <w:b w:val="false"/>
          <w:b w:val="false"/>
          <w:bCs w:val="false"/>
        </w:rPr>
      </w:pPr>
      <w:r>
        <w:rPr>
          <w:rFonts w:eastAsia="Calibri" w:cs="Times New Roman" w:ascii="Times New Roman" w:hAnsi="Times New Roman"/>
          <w:b w:val="false"/>
          <w:bCs w:val="false"/>
        </w:rPr>
        <w:t xml:space="preserve">- Sanacija pješačkih staza       </w:t>
        <w:tab/>
        <w:tab/>
        <w:tab/>
        <w:tab/>
        <w:tab/>
        <w:t xml:space="preserve">      20.000,00 EUR</w:t>
      </w:r>
    </w:p>
    <w:p>
      <w:pPr>
        <w:pStyle w:val="Normal"/>
        <w:jc w:val="both"/>
        <w:rPr>
          <w:b w:val="false"/>
          <w:b w:val="false"/>
          <w:bCs w:val="false"/>
        </w:rPr>
      </w:pPr>
      <w:r>
        <w:rPr>
          <w:rFonts w:eastAsia="Calibri" w:cs="Times New Roman" w:ascii="Times New Roman" w:hAnsi="Times New Roman"/>
          <w:b w:val="false"/>
          <w:bCs w:val="false"/>
        </w:rPr>
        <w:t>3. održavanje građevina javne odvodnje oborinskih voda                               0,00 EUR</w:t>
      </w:r>
    </w:p>
    <w:p>
      <w:pPr>
        <w:pStyle w:val="Normal"/>
        <w:jc w:val="both"/>
        <w:rPr>
          <w:b w:val="false"/>
          <w:b w:val="false"/>
          <w:bCs w:val="false"/>
        </w:rPr>
      </w:pPr>
      <w:r>
        <w:rPr>
          <w:rFonts w:eastAsia="Calibri" w:cs="Times New Roman" w:ascii="Times New Roman" w:hAnsi="Times New Roman"/>
          <w:b w:val="false"/>
          <w:bCs w:val="false"/>
        </w:rPr>
        <w:t>4. održavanje javnih zelenih površina</w:t>
      </w:r>
    </w:p>
    <w:p>
      <w:pPr>
        <w:pStyle w:val="Normal"/>
        <w:jc w:val="both"/>
        <w:rPr>
          <w:b w:val="false"/>
          <w:b w:val="false"/>
          <w:bCs w:val="false"/>
        </w:rPr>
      </w:pPr>
      <w:r>
        <w:rPr>
          <w:rFonts w:eastAsia="Calibri" w:cs="Times New Roman" w:ascii="Times New Roman" w:hAnsi="Times New Roman"/>
          <w:b w:val="false"/>
          <w:bCs w:val="false"/>
        </w:rPr>
        <w:t>- Održavanje javnih površina                                                                    10.000,00 EUR</w:t>
      </w:r>
    </w:p>
    <w:p>
      <w:pPr>
        <w:pStyle w:val="Normal"/>
        <w:jc w:val="both"/>
        <w:rPr>
          <w:b w:val="false"/>
          <w:b w:val="false"/>
          <w:bCs w:val="false"/>
        </w:rPr>
      </w:pPr>
      <w:r>
        <w:rPr>
          <w:rFonts w:eastAsia="Calibri" w:cs="Times New Roman" w:ascii="Times New Roman" w:hAnsi="Times New Roman"/>
          <w:b w:val="false"/>
          <w:bCs w:val="false"/>
        </w:rPr>
        <w:t>5. održavanje građevina, uređaja i predmeta javne namjene                     8.000,00 EUR</w:t>
      </w:r>
    </w:p>
    <w:p>
      <w:pPr>
        <w:pStyle w:val="Normal"/>
        <w:jc w:val="both"/>
        <w:rPr>
          <w:b w:val="false"/>
          <w:b w:val="false"/>
          <w:bCs w:val="false"/>
        </w:rPr>
      </w:pPr>
      <w:r>
        <w:rPr>
          <w:rFonts w:eastAsia="Calibri" w:cs="Times New Roman" w:ascii="Times New Roman" w:hAnsi="Times New Roman"/>
          <w:b w:val="false"/>
          <w:bCs w:val="false"/>
        </w:rPr>
        <w:t>6. održavanje groblja i krematorija unutar groblja</w:t>
      </w:r>
    </w:p>
    <w:p>
      <w:pPr>
        <w:pStyle w:val="Normal"/>
        <w:jc w:val="both"/>
        <w:rPr>
          <w:b w:val="false"/>
          <w:b w:val="false"/>
          <w:bCs w:val="false"/>
        </w:rPr>
      </w:pPr>
      <w:r>
        <w:rPr>
          <w:rFonts w:eastAsia="Calibri" w:cs="Times New Roman" w:ascii="Times New Roman" w:hAnsi="Times New Roman"/>
          <w:b w:val="false"/>
          <w:bCs w:val="false"/>
        </w:rPr>
        <w:t>- Uređenje groblja i parking na groblju                                                            0,00 EUR</w:t>
      </w:r>
    </w:p>
    <w:p>
      <w:pPr>
        <w:pStyle w:val="Normal"/>
        <w:jc w:val="both"/>
        <w:rPr>
          <w:b w:val="false"/>
          <w:b w:val="false"/>
          <w:bCs w:val="false"/>
        </w:rPr>
      </w:pPr>
      <w:r>
        <w:rPr>
          <w:rFonts w:eastAsia="Calibri" w:cs="Times New Roman" w:ascii="Times New Roman" w:hAnsi="Times New Roman"/>
          <w:b w:val="false"/>
          <w:bCs w:val="false"/>
        </w:rPr>
        <w:t>7. održavanje čistoće javnih površina                                                              0,00 EUR</w:t>
      </w:r>
    </w:p>
    <w:p>
      <w:pPr>
        <w:pStyle w:val="Normal"/>
        <w:jc w:val="both"/>
        <w:rPr>
          <w:b w:val="false"/>
          <w:b w:val="false"/>
          <w:bCs w:val="false"/>
        </w:rPr>
      </w:pPr>
      <w:r>
        <w:rPr>
          <w:rFonts w:eastAsia="Calibri" w:cs="Times New Roman" w:ascii="Times New Roman" w:hAnsi="Times New Roman"/>
          <w:b w:val="false"/>
          <w:bCs w:val="false"/>
        </w:rPr>
        <w:t>8. održavanje javne rasvjete</w:t>
      </w:r>
    </w:p>
    <w:p>
      <w:pPr>
        <w:pStyle w:val="Normal"/>
        <w:jc w:val="both"/>
        <w:rPr>
          <w:b w:val="false"/>
          <w:b w:val="false"/>
          <w:bCs w:val="false"/>
        </w:rPr>
      </w:pPr>
      <w:r>
        <w:rPr>
          <w:rFonts w:eastAsia="Calibri" w:cs="Times New Roman" w:ascii="Times New Roman" w:hAnsi="Times New Roman"/>
          <w:b w:val="false"/>
          <w:bCs w:val="false"/>
        </w:rPr>
        <w:t>- Održavanje javne rasvjeta                                                                          500,00 EUR</w:t>
      </w:r>
    </w:p>
    <w:p>
      <w:pPr>
        <w:pStyle w:val="Normal"/>
        <w:jc w:val="both"/>
        <w:rPr>
          <w:b w:val="false"/>
          <w:b w:val="false"/>
          <w:bCs w:val="false"/>
        </w:rPr>
      </w:pPr>
      <w:r>
        <w:rPr>
          <w:rFonts w:eastAsia="Calibri" w:cs="Times New Roman" w:ascii="Times New Roman" w:hAnsi="Times New Roman"/>
          <w:b w:val="false"/>
          <w:bCs w:val="false"/>
        </w:rPr>
        <w:t>- Podmirenje troškova električne energije                                               16.000,00 EUR</w:t>
      </w:r>
    </w:p>
    <w:p>
      <w:pPr>
        <w:pStyle w:val="Normal"/>
        <w:jc w:val="both"/>
        <w:rPr>
          <w:b w:val="false"/>
          <w:b w:val="false"/>
          <w:bCs w:val="false"/>
        </w:rPr>
      </w:pPr>
      <w:r>
        <w:rPr>
          <w:rFonts w:eastAsia="Calibri" w:cs="Times New Roman" w:ascii="Times New Roman" w:hAnsi="Times New Roman"/>
          <w:b w:val="false"/>
          <w:bCs w:val="false"/>
        </w:rPr>
        <w:t>9. sanacija divljih odlagališta</w:t>
      </w:r>
    </w:p>
    <w:p>
      <w:pPr>
        <w:pStyle w:val="Normal"/>
        <w:jc w:val="both"/>
        <w:rPr>
          <w:b w:val="false"/>
          <w:b w:val="false"/>
          <w:bCs w:val="false"/>
        </w:rPr>
      </w:pPr>
      <w:r>
        <w:rPr>
          <w:rFonts w:eastAsia="Calibri" w:cs="Times New Roman" w:ascii="Times New Roman" w:hAnsi="Times New Roman"/>
          <w:b w:val="false"/>
          <w:bCs w:val="false"/>
        </w:rPr>
        <w:t>- Divlja deponija Grabovo                                                                               0,00 EUR</w:t>
      </w:r>
    </w:p>
    <w:p>
      <w:pPr>
        <w:pStyle w:val="Normal"/>
        <w:jc w:val="both"/>
        <w:rPr>
          <w:b w:val="false"/>
          <w:b w:val="false"/>
          <w:bCs w:val="false"/>
        </w:rPr>
      </w:pPr>
      <w:r>
        <w:rPr>
          <w:rFonts w:eastAsia="Calibri" w:cs="Times New Roman" w:ascii="Times New Roman" w:hAnsi="Times New Roman"/>
          <w:b w:val="false"/>
          <w:bCs w:val="false"/>
        </w:rPr>
        <w:t>- Usluge čišćenja divljih deponija                                                                   0,00 EUR</w:t>
      </w:r>
    </w:p>
    <w:p>
      <w:pPr>
        <w:pStyle w:val="Normal"/>
        <w:jc w:val="both"/>
        <w:rPr>
          <w:b w:val="false"/>
          <w:b w:val="false"/>
          <w:bCs w:val="false"/>
        </w:rPr>
      </w:pPr>
      <w:r>
        <w:rPr>
          <w:rFonts w:eastAsia="Calibri" w:cs="Times New Roman" w:ascii="Times New Roman" w:hAnsi="Times New Roman"/>
          <w:b w:val="false"/>
          <w:bCs w:val="false"/>
        </w:rPr>
        <w:t>10. dezinfekcija, dezinsekcija i deratizacija</w:t>
      </w:r>
    </w:p>
    <w:p>
      <w:pPr>
        <w:pStyle w:val="Normal"/>
        <w:jc w:val="both"/>
        <w:rPr>
          <w:b w:val="false"/>
          <w:b w:val="false"/>
          <w:bCs w:val="false"/>
        </w:rPr>
      </w:pPr>
      <w:r>
        <w:rPr>
          <w:rFonts w:eastAsia="Calibri" w:cs="Times New Roman" w:ascii="Times New Roman" w:hAnsi="Times New Roman"/>
          <w:b w:val="false"/>
          <w:bCs w:val="false"/>
        </w:rPr>
        <w:t>- Dezinsekcija komaraca i stršljenova                                                     10.300,00 EUR</w:t>
      </w:r>
    </w:p>
    <w:p>
      <w:pPr>
        <w:pStyle w:val="Normal"/>
        <w:jc w:val="both"/>
        <w:rPr>
          <w:b w:val="false"/>
          <w:b w:val="false"/>
          <w:bCs w:val="false"/>
        </w:rPr>
      </w:pPr>
      <w:r>
        <w:rPr>
          <w:rFonts w:eastAsia="Calibri" w:cs="Times New Roman" w:ascii="Times New Roman" w:hAnsi="Times New Roman"/>
          <w:b w:val="false"/>
          <w:bCs w:val="false"/>
        </w:rPr>
        <w:t>- Deratizacija                                                                                             5.000,00 EUR</w:t>
      </w:r>
    </w:p>
    <w:p>
      <w:pPr>
        <w:pStyle w:val="Normal"/>
        <w:jc w:val="both"/>
        <w:rPr>
          <w:b w:val="false"/>
          <w:b w:val="false"/>
          <w:bCs w:val="false"/>
        </w:rPr>
      </w:pPr>
      <w:r>
        <w:rPr>
          <w:rFonts w:eastAsia="Calibri" w:cs="Times New Roman" w:ascii="Times New Roman" w:hAnsi="Times New Roman"/>
          <w:b w:val="false"/>
          <w:bCs w:val="false"/>
        </w:rPr>
        <w:t>11. neškodljivo uklanjanje lešina</w:t>
      </w:r>
    </w:p>
    <w:p>
      <w:pPr>
        <w:pStyle w:val="Normal"/>
        <w:jc w:val="both"/>
        <w:rPr>
          <w:b w:val="false"/>
          <w:b w:val="false"/>
          <w:bCs w:val="false"/>
        </w:rPr>
      </w:pPr>
      <w:r>
        <w:rPr>
          <w:rFonts w:eastAsia="Calibri" w:cs="Times New Roman" w:ascii="Times New Roman" w:hAnsi="Times New Roman"/>
          <w:b w:val="false"/>
          <w:bCs w:val="false"/>
        </w:rPr>
        <w:t>- Animalni otpad                                                                                        1.000,00 EUR</w:t>
      </w:r>
    </w:p>
    <w:p>
      <w:pPr>
        <w:pStyle w:val="Normal"/>
        <w:jc w:val="both"/>
        <w:rPr>
          <w:color w:val="000000"/>
        </w:rPr>
      </w:pPr>
      <w:r>
        <w:rPr>
          <w:rFonts w:eastAsia="Calibri" w:cs="Times New Roman" w:ascii="Times New Roman" w:hAnsi="Times New Roman"/>
          <w:b/>
          <w:bCs/>
          <w:color w:val="000000"/>
          <w:lang w:val="hr-HR"/>
        </w:rPr>
        <w:t xml:space="preserve">UKUPNO:       </w:t>
        <w:tab/>
        <w:tab/>
        <w:tab/>
        <w:tab/>
        <w:tab/>
        <w:tab/>
        <w:t xml:space="preserve">                     76.640,00 EUR</w:t>
      </w:r>
    </w:p>
    <w:p>
      <w:pPr>
        <w:pStyle w:val="Normal"/>
        <w:jc w:val="both"/>
        <w:rPr>
          <w:rFonts w:ascii="Times New Roman" w:hAnsi="Times New Roman" w:eastAsia="Calibri" w:cs="Times New Roman"/>
          <w:b/>
          <w:b/>
          <w:color w:val="000000"/>
          <w:lang w:val="hr-HR"/>
        </w:rPr>
      </w:pPr>
      <w:r>
        <w:rPr>
          <w:rFonts w:eastAsia="Calibri" w:cs="Times New Roman" w:ascii="Times New Roman" w:hAnsi="Times New Roman"/>
          <w:b/>
          <w:color w:val="000000"/>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nerazvrstanih cesta (sanacija i tekuće održavanje)</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w:t>
      </w:r>
      <w:r>
        <w:rPr>
          <w:rFonts w:eastAsia="Calibri" w:cs="Times New Roman" w:ascii="Times New Roman" w:hAnsi="Times New Roman"/>
          <w:bCs/>
          <w:color w:val="000000"/>
          <w:lang w:val="hr-HR"/>
        </w:rPr>
        <w:t>e iznosi 5.840,00</w:t>
      </w:r>
      <w:r>
        <w:rPr>
          <w:rFonts w:eastAsia="Calibri" w:cs="Times New Roman" w:ascii="Times New Roman" w:hAnsi="Times New Roman"/>
          <w:bCs/>
          <w:iCs/>
          <w:color w:val="000000"/>
          <w:lang w:val="hr-HR"/>
        </w:rPr>
        <w:t xml:space="preserve">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nerazvrstanih cesta podrazumijeva se skup mjera i radnji koje se obavljaju tijekom cijele godine na nerazvrstanim cestama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Obuhvaća održavanje, rekonstrukciju, sanaciju nerazvrstanih cesta i poljskih putova, te čišćenje snijega i leda u okviru zimske službe na prometnicama i </w:t>
      </w:r>
      <w:r>
        <w:rPr>
          <w:rFonts w:ascii="Times New Roman" w:hAnsi="Times New Roman"/>
          <w:bCs/>
          <w:lang w:val="hr-HR"/>
        </w:rPr>
        <w:t>vršenje građevinskih i drugih radova radi očuvanja bitnih zahtjeva za prometnicu tijekom njenog trajanja (sa</w:t>
      </w:r>
      <w:r>
        <w:rPr>
          <w:rFonts w:ascii="Times New Roman" w:hAnsi="Times New Roman"/>
          <w:lang w:val="hr-HR"/>
        </w:rPr>
        <w:t>naciju oštećenih asfaltnih površina, udarnih rupa, ulegnuća, mrežastih oštećenja i sl. na kolnicima). Tekuće održavanje nerazvrstanih cesta provodi se temeljem Operativnog programa održavanja nerazvrstanih cesta u zimskom razdoblju u sezoni 2024./2025. (period od 15.11.2024. godine do 15.03.2025. godine). Obuhvaća troškove čišćenja snijega, posipavanje snijega i leda. Ukupna dužina nerazvrstanih cesta iznosi 3.546,00 m, a procjena troškova temelji se na dužini dionica ceste, sata rada angažiranih strojeva i ljudi te cijene posipala.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površina na kojima nije dopušten promet motornim vozilima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radova i</w:t>
      </w:r>
      <w:r>
        <w:rPr>
          <w:rFonts w:eastAsia="Calibri" w:cs="Times New Roman" w:ascii="Times New Roman" w:hAnsi="Times New Roman"/>
          <w:bCs/>
          <w:color w:val="000000"/>
          <w:lang w:val="hr-HR"/>
        </w:rPr>
        <w:t>znosi 20.000,00</w:t>
      </w:r>
      <w:r>
        <w:rPr>
          <w:rFonts w:eastAsia="Calibri" w:cs="Times New Roman" w:ascii="Times New Roman" w:hAnsi="Times New Roman"/>
          <w:bCs/>
          <w:iCs/>
          <w:color w:val="000000"/>
          <w:lang w:val="hr-HR"/>
        </w:rPr>
        <w:t xml:space="preserve">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Održavanje javnih površina na kojima nije dopušten promet motornih vozila podrazumijeva vršenje građevinskih i drugih radova kojima se osigurava njihova funkcionalna ispravnost tijekom njihovog trajanja (sanaciju oštećenja, ulegnuća, pukotina i sl. na javnim površinama).</w:t>
      </w:r>
    </w:p>
    <w:p>
      <w:pPr>
        <w:pStyle w:val="Normal"/>
        <w:ind w:firstLine="720"/>
        <w:jc w:val="both"/>
        <w:rPr>
          <w:rFonts w:ascii="Times New Roman" w:hAnsi="Times New Roman"/>
          <w:lang w:val="hr-HR"/>
        </w:rPr>
      </w:pPr>
      <w:r>
        <w:rPr>
          <w:rFonts w:eastAsia="Calibri" w:cs="Times New Roman" w:ascii="Times New Roman" w:hAnsi="Times New Roman"/>
          <w:bCs/>
          <w:lang w:val="hr-HR"/>
        </w:rPr>
        <w:t>Javne površine na kojima nije dopušten promet motornih vozila podrazumijevaju: pješačke staze, trgove, pločnike, javne prolaze, prečace, ako nisu sastavni dio nerazvrstane ili druge ceste.</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zelenih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w:t>
      </w:r>
      <w:r>
        <w:rPr>
          <w:rFonts w:eastAsia="Calibri" w:cs="Times New Roman" w:ascii="Times New Roman" w:hAnsi="Times New Roman"/>
          <w:bCs/>
          <w:color w:val="000000"/>
          <w:lang w:val="hr-HR"/>
        </w:rPr>
        <w:t xml:space="preserve">ove iznosi </w:t>
      </w:r>
      <w:r>
        <w:rPr>
          <w:rFonts w:eastAsia="Calibri" w:cs="Times New Roman" w:ascii="Times New Roman" w:hAnsi="Times New Roman"/>
          <w:bCs/>
          <w:iCs/>
          <w:color w:val="000000"/>
          <w:lang w:val="hr-HR"/>
        </w:rPr>
        <w:t>10.000,00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Pod održavanjem javnih zelenih površina podrazumijeva se košnja, obrezivanje, sakupljanje biološkog otpada s javnih zelenih površina, obnova, održavanje i njega drveća, ukrasnog grmlja i drugog bilja, popločenih površina i površina u parkovima, fitosanitarna zaštita bilja i biljnog materijala za potrebe održavanja i drugi poslovi potrebni za održavanje tih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Radovi na održavanju javnih zelenih površina sastoje se od:</w:t>
      </w:r>
    </w:p>
    <w:p>
      <w:pPr>
        <w:pStyle w:val="Normal"/>
        <w:jc w:val="both"/>
        <w:rPr>
          <w:rFonts w:ascii="Times New Roman" w:hAnsi="Times New Roman"/>
          <w:lang w:val="hr-HR"/>
        </w:rPr>
      </w:pPr>
      <w:r>
        <w:rPr>
          <w:rFonts w:eastAsia="Calibri" w:cs="Times New Roman" w:ascii="Times New Roman" w:hAnsi="Times New Roman"/>
          <w:bCs/>
          <w:lang w:val="hr-HR"/>
        </w:rPr>
        <w:t>-redovnih i izvanrednih hortikulturnih radova – održavanje i njega travnjaka površine 27.000 m</w:t>
      </w:r>
      <w:r>
        <w:rPr>
          <w:rFonts w:eastAsia="Calibri" w:cs="Times New Roman" w:ascii="Times New Roman" w:hAnsi="Times New Roman"/>
          <w:bCs/>
          <w:vertAlign w:val="superscript"/>
          <w:lang w:val="hr-HR"/>
        </w:rPr>
        <w:t>2</w:t>
      </w:r>
      <w:r>
        <w:rPr>
          <w:rFonts w:eastAsia="Calibri" w:cs="Times New Roman" w:ascii="Times New Roman" w:hAnsi="Times New Roman"/>
          <w:bCs/>
          <w:lang w:val="hr-HR"/>
        </w:rPr>
        <w:t xml:space="preserve"> (košenje i skupljanje trave i lišća, prozračivanje i obnova travnjaka), održavanje i njega sezonskih i trajnih cvjetnjaka, cvjetnih vaza, grmova, živica i stabala,</w:t>
      </w:r>
    </w:p>
    <w:p>
      <w:pPr>
        <w:pStyle w:val="Normal"/>
        <w:jc w:val="both"/>
        <w:rPr>
          <w:rFonts w:ascii="Times New Roman" w:hAnsi="Times New Roman"/>
          <w:lang w:val="hr-HR"/>
        </w:rPr>
      </w:pPr>
      <w:r>
        <w:rPr>
          <w:rFonts w:eastAsia="Calibri" w:cs="Times New Roman" w:ascii="Times New Roman" w:hAnsi="Times New Roman"/>
          <w:bCs/>
          <w:lang w:val="hr-HR"/>
        </w:rPr>
        <w:t>- održavanje nasada drveća podrazumijeva okopavanje, oblikovanje, odrezivanje bolesnih i starih grana, odrezivanje grana koje smetaju prometu, skupljanje grana i odvoz na odlagalište, sadnju novih stablašica,</w:t>
      </w:r>
    </w:p>
    <w:p>
      <w:pPr>
        <w:pStyle w:val="Normal"/>
        <w:jc w:val="both"/>
        <w:rPr>
          <w:rFonts w:ascii="Times New Roman" w:hAnsi="Times New Roman"/>
          <w:lang w:val="hr-HR"/>
        </w:rPr>
      </w:pPr>
      <w:r>
        <w:rPr>
          <w:rFonts w:eastAsia="Calibri" w:cs="Times New Roman" w:ascii="Times New Roman" w:hAnsi="Times New Roman"/>
          <w:bCs/>
          <w:lang w:val="hr-HR"/>
        </w:rPr>
        <w:t>- održavanje živice podrazumijeva oblikovanje živice, zamjenu-sadnju novih sadnica živice,</w:t>
      </w:r>
    </w:p>
    <w:p>
      <w:pPr>
        <w:pStyle w:val="Normal"/>
        <w:jc w:val="both"/>
        <w:rPr>
          <w:rFonts w:ascii="Times New Roman" w:hAnsi="Times New Roman"/>
          <w:lang w:val="hr-HR"/>
        </w:rPr>
      </w:pPr>
      <w:r>
        <w:rPr>
          <w:rFonts w:eastAsia="Calibri" w:cs="Times New Roman" w:ascii="Times New Roman" w:hAnsi="Times New Roman"/>
          <w:bCs/>
          <w:lang w:val="hr-HR"/>
        </w:rPr>
        <w:t>skupljanje grana i odvoz na odlagalište,</w:t>
      </w:r>
    </w:p>
    <w:p>
      <w:pPr>
        <w:pStyle w:val="Normal"/>
        <w:jc w:val="both"/>
        <w:rPr>
          <w:rFonts w:ascii="Times New Roman" w:hAnsi="Times New Roman"/>
          <w:lang w:val="hr-HR"/>
        </w:rPr>
      </w:pPr>
      <w:r>
        <w:rPr>
          <w:rFonts w:eastAsia="Calibri" w:cs="Times New Roman" w:ascii="Times New Roman" w:hAnsi="Times New Roman"/>
          <w:bCs/>
          <w:lang w:val="hr-HR"/>
        </w:rPr>
        <w:t>- nabave sadnog materijala – sezonskih cvjetnica, trajnica, grmova, stabala, travnih busena i dr.</w:t>
      </w:r>
    </w:p>
    <w:p>
      <w:pPr>
        <w:pStyle w:val="Normal"/>
        <w:jc w:val="both"/>
        <w:rPr>
          <w:rFonts w:ascii="Times New Roman" w:hAnsi="Times New Roman"/>
          <w:lang w:val="hr-HR"/>
        </w:rPr>
      </w:pPr>
      <w:r>
        <w:rPr>
          <w:rFonts w:eastAsia="Calibri" w:cs="Times New Roman" w:ascii="Times New Roman" w:hAnsi="Times New Roman"/>
          <w:bCs/>
          <w:lang w:val="hr-HR"/>
        </w:rPr>
        <w:t>- održavanja cvjetnih gredica koje podrazumijeva štihanje, gnojenje, sađenje, zalijevanje, pljevljenje i okopavanje,</w:t>
      </w:r>
    </w:p>
    <w:p>
      <w:pPr>
        <w:pStyle w:val="Normal"/>
        <w:jc w:val="both"/>
        <w:rPr>
          <w:rFonts w:ascii="Times New Roman" w:hAnsi="Times New Roman"/>
          <w:lang w:val="hr-HR"/>
        </w:rPr>
      </w:pPr>
      <w:r>
        <w:rPr>
          <w:rFonts w:eastAsia="Calibri" w:cs="Times New Roman" w:ascii="Times New Roman" w:hAnsi="Times New Roman"/>
          <w:bCs/>
          <w:lang w:val="hr-HR"/>
        </w:rPr>
        <w:t>- navodnjavanje javnih zelenih površina na području Općine.</w:t>
      </w:r>
    </w:p>
    <w:p>
      <w:pPr>
        <w:pStyle w:val="Normal"/>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Održavanje groblja i kapele unutar groblja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w:t>
      </w:r>
      <w:r>
        <w:rPr>
          <w:rFonts w:eastAsia="Calibri" w:cs="Times New Roman" w:ascii="Times New Roman" w:hAnsi="Times New Roman"/>
          <w:bCs/>
          <w:color w:val="000000"/>
          <w:lang w:val="hr-HR"/>
        </w:rPr>
        <w:t xml:space="preserve">e radove iznosi </w:t>
      </w:r>
      <w:r>
        <w:rPr>
          <w:rFonts w:eastAsia="Calibri" w:cs="Times New Roman" w:ascii="Times New Roman" w:hAnsi="Times New Roman"/>
          <w:bCs/>
          <w:iCs/>
          <w:color w:val="000000"/>
          <w:lang w:val="hr-HR"/>
        </w:rPr>
        <w:t xml:space="preserve"> 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Javna rasvjeta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ja</w:t>
      </w:r>
      <w:r>
        <w:rPr>
          <w:rFonts w:eastAsia="Calibri" w:cs="Times New Roman" w:ascii="Times New Roman" w:hAnsi="Times New Roman"/>
          <w:bCs/>
          <w:color w:val="000000"/>
          <w:lang w:val="hr-HR"/>
        </w:rPr>
        <w:t>vnu rasvjetu 16.500,00 EUR.</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javne rasvjete podrazumijeva se upravljanje i održavanje instalacija javne rasvjete, uključujući podmirivanje troškova električne energije, za rasvjetljavanje površina javne namjene. </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Radovi na sustavu javne rasvjete izvode se da bi sustav bio u potpunoj funkcionalnosti. Ovdje spada redovno i investicijsko održavanje. U redovito održavanje javne rasvjete spadaju periodički pregledi ispravnosti sustava na području općine, zamjena dotrajalih i nefunkcionalnih (neispravnih) rasvjetnih tijela, zamjena ili obnova dotrajalih stupova javne rasvjete, zamjena kablova i druge pripadajuće opreme, proširenje javne rasvjete i intervencijski zahvati. Redovno održavanje se obavlja kroz cijelu godinu prema potrebi. Hitne intervencije vrše se nakon raznih devastacija na rasvjetnim tijelima (nakon prometnih nezgoda, poslije nevremena zbog dotrajalosti stupova, udara groma ili kvarova na kablovima). </w:t>
      </w:r>
    </w:p>
    <w:p>
      <w:pPr>
        <w:pStyle w:val="Normal"/>
        <w:jc w:val="both"/>
        <w:rPr>
          <w:rFonts w:ascii="Times New Roman" w:hAnsi="Times New Roman"/>
          <w:lang w:val="hr-HR"/>
        </w:rPr>
      </w:pPr>
      <w:r>
        <w:rPr>
          <w:rFonts w:eastAsia="Calibri" w:cs="Times New Roman" w:ascii="Times New Roman" w:hAnsi="Times New Roman"/>
          <w:b w:val="false"/>
          <w:bCs/>
          <w:lang w:val="hr-HR"/>
        </w:rPr>
        <w:t>Potrošnja javne rasvjete podrazumijeva podmirivanje troškova za utrošak električne energije za javnu rasvjetu, a temeljem Ugovora o opskrbi električnom energijom povlaštenog kupca.“</w:t>
      </w:r>
    </w:p>
    <w:p>
      <w:pPr>
        <w:pStyle w:val="Normal"/>
        <w:jc w:val="both"/>
        <w:rPr>
          <w:rFonts w:ascii="Times New Roman" w:hAnsi="Times New Roman"/>
          <w:lang w:val="hr-HR"/>
        </w:rPr>
      </w:pPr>
      <w:r>
        <w:rPr>
          <w:rFonts w:ascii="Times New Roman" w:hAnsi="Times New Roman"/>
          <w:lang w:val="hr-HR"/>
        </w:rPr>
      </w:r>
    </w:p>
    <w:p>
      <w:pPr>
        <w:pStyle w:val="Normal"/>
        <w:jc w:val="both"/>
        <w:rPr>
          <w:rFonts w:ascii="Times New Roman" w:hAnsi="Times New Roman"/>
          <w:lang w:val="hr-HR"/>
        </w:rPr>
      </w:pPr>
      <w:r>
        <w:rPr>
          <w:rFonts w:eastAsia="Calibri" w:cs="Times New Roman" w:ascii="Times New Roman" w:hAnsi="Times New Roman"/>
          <w:lang w:val="hr-HR"/>
        </w:rPr>
        <w:t xml:space="preserve">Ovim Programom određuje se održavanje komunalne infrastrukture na području Općine Negoslavci za 2026. godinu, financijska sredstva potrebna za ostvarivanje ovog Programa i izvori financiranja po djelatnostima.  </w:t>
      </w:r>
    </w:p>
    <w:p>
      <w:pPr>
        <w:pStyle w:val="Normal"/>
        <w:ind w:left="720" w:hanging="0"/>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2.</w:t>
      </w:r>
    </w:p>
    <w:p>
      <w:pPr>
        <w:pStyle w:val="Normal"/>
        <w:jc w:val="left"/>
        <w:rPr/>
      </w:pPr>
      <w:r>
        <w:rPr/>
        <w:tab/>
        <w:t>Mijenja se članak 3. Programa i glasi:</w:t>
      </w:r>
    </w:p>
    <w:p>
      <w:pPr>
        <w:pStyle w:val="Normal"/>
        <w:jc w:val="both"/>
        <w:rPr>
          <w:rFonts w:ascii="Times New Roman" w:hAnsi="Times New Roman"/>
          <w:lang w:val="hr-HR"/>
        </w:rPr>
      </w:pPr>
      <w:r>
        <w:rPr>
          <w:rFonts w:eastAsia="Calibri" w:cs="Times New Roman" w:ascii="Times New Roman" w:hAnsi="Times New Roman"/>
          <w:lang w:val="hr-HR"/>
        </w:rPr>
        <w:tab/>
        <w:t>„</w:t>
      </w:r>
      <w:r>
        <w:rPr>
          <w:rFonts w:eastAsia="Calibri" w:cs="Times New Roman" w:ascii="Times New Roman" w:hAnsi="Times New Roman"/>
          <w:color w:val="000000"/>
          <w:lang w:val="hr-HR"/>
        </w:rPr>
        <w:t>Financijska sredstva za održavanje komunalne infrastrukture iz članka 2. u ukupnom iznosu od 76.640,00 EUR osigurat će se i</w:t>
      </w:r>
      <w:r>
        <w:rPr>
          <w:rFonts w:eastAsia="Calibri" w:cs="Times New Roman" w:ascii="Times New Roman" w:hAnsi="Times New Roman"/>
          <w:lang w:val="hr-HR"/>
        </w:rPr>
        <w:t>z sljedećih izvora.</w:t>
      </w:r>
    </w:p>
    <w:tbl>
      <w:tblPr>
        <w:tblW w:w="93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260"/>
        <w:gridCol w:w="2464"/>
        <w:gridCol w:w="3626"/>
      </w:tblGrid>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Izvršenje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Potrebna sredstva</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Izvori financiranja i iznosi</w:t>
            </w:r>
          </w:p>
        </w:tc>
      </w:tr>
      <w:tr>
        <w:trPr>
          <w:trHeight w:val="390"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Tekuće održavanje nerazvrstanih cesta i čišćenje snijega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5.840,00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 5.840,00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lang w:val="hr-HR"/>
              </w:rPr>
              <w:t>Sanacija pješačkih staza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ascii="Times New Roman" w:hAnsi="Times New Roman"/>
                <w:color w:val="000000"/>
              </w:rPr>
              <w:t>20.000,00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Kapitalne pomoći PORLZ Ministarstvo regionalnog razvoja i fondova EU</w:t>
            </w:r>
            <w:r>
              <w:rPr>
                <w:rFonts w:ascii="Times New Roman" w:hAnsi="Times New Roman"/>
                <w:color w:val="000000"/>
                <w:kern w:val="0"/>
                <w:lang w:eastAsia="en-US" w:bidi="ar-SA"/>
              </w:rPr>
              <w:t xml:space="preserve"> 10.000,00 EUR i Proračun Općine Negoslavci 10.000,00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Uređenje centra općine-faza II</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val="hr-HR" w:eastAsia="en-US" w:bidi="ar-SA"/>
              </w:rPr>
              <w:t>Ministarstvo regionalnog razvoja i fondova EU PPNM 10.000,00 EUR</w:t>
            </w:r>
          </w:p>
        </w:tc>
      </w:tr>
      <w:tr>
        <w:trPr>
          <w:trHeight w:val="40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javnih površina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  10,000,00 EUR</w:t>
            </w:r>
          </w:p>
        </w:tc>
      </w:tr>
      <w:tr>
        <w:trPr>
          <w:trHeight w:val="408" w:hRule="atLeast"/>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građevina, uređaja i predmeta javne namjene</w:t>
            </w:r>
          </w:p>
        </w:tc>
        <w:tc>
          <w:tcPr>
            <w:tcW w:w="2464" w:type="dxa"/>
            <w:tcBorders>
              <w:left w:val="single" w:sz="6" w:space="0" w:color="000000"/>
              <w:bottom w:val="single" w:sz="6" w:space="0" w:color="000000"/>
              <w:right w:val="single" w:sz="6" w:space="0" w:color="000000"/>
            </w:tcBorders>
          </w:tcPr>
          <w:p>
            <w:pPr>
              <w:pStyle w:val="Normal"/>
              <w:widowControl w:val="false"/>
              <w:jc w:val="both"/>
              <w:rPr>
                <w:color w:val="000000"/>
              </w:rPr>
            </w:pPr>
            <w:r>
              <w:rPr>
                <w:rFonts w:ascii="Times New Roman" w:hAnsi="Times New Roman"/>
                <w:color w:val="000000"/>
              </w:rPr>
              <w:t>8.000,00 EUR</w:t>
            </w:r>
          </w:p>
        </w:tc>
        <w:tc>
          <w:tcPr>
            <w:tcW w:w="3626" w:type="dxa"/>
            <w:tcBorders>
              <w:left w:val="single" w:sz="6" w:space="0" w:color="000000"/>
              <w:bottom w:val="single" w:sz="6" w:space="0" w:color="000000"/>
              <w:right w:val="single" w:sz="6" w:space="0" w:color="000000"/>
            </w:tcBorders>
          </w:tcPr>
          <w:p>
            <w:pPr>
              <w:pStyle w:val="Normal"/>
              <w:widowControl w:val="false"/>
              <w:rPr>
                <w:color w:val="000000"/>
              </w:rPr>
            </w:pPr>
            <w:r>
              <w:rPr>
                <w:rFonts w:ascii="Times New Roman" w:hAnsi="Times New Roman"/>
                <w:color w:val="000000"/>
                <w:kern w:val="0"/>
                <w:lang w:eastAsia="en-US" w:bidi="ar-SA"/>
              </w:rPr>
              <w:t>Proračun  8.000,00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szCs w:val="22"/>
                <w:lang w:val="hr-HR" w:eastAsia="en-US" w:bidi="ar-SA"/>
              </w:rPr>
              <w:t>Održavanje javne rasvjete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bCs/>
                <w:color w:val="000000"/>
              </w:rPr>
              <w:t>16.500,00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w:t>
            </w:r>
            <w:r>
              <w:rPr>
                <w:rFonts w:eastAsia="Calibri" w:cs="Times New Roman" w:ascii="Times New Roman" w:hAnsi="Times New Roman"/>
                <w:bCs/>
                <w:color w:val="000000"/>
                <w:kern w:val="0"/>
                <w:lang w:eastAsia="en-US" w:bidi="ar-SA"/>
              </w:rPr>
              <w:t xml:space="preserve"> 16.500,00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color w:val="000000"/>
                <w:kern w:val="0"/>
                <w:lang w:val="hr-HR" w:eastAsia="en-US" w:bidi="ar-SA"/>
              </w:rPr>
              <w:t>UKUPNO</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76.640,00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rPr>
              <w:t>84.640,00 EUR</w:t>
            </w:r>
          </w:p>
        </w:tc>
      </w:tr>
    </w:tbl>
    <w:p>
      <w:pPr>
        <w:pStyle w:val="Normal"/>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3.</w:t>
      </w:r>
    </w:p>
    <w:p>
      <w:pPr>
        <w:pStyle w:val="Normal"/>
        <w:jc w:val="left"/>
        <w:rPr/>
      </w:pPr>
      <w:r>
        <w:rPr/>
        <w:tab/>
        <w:t>Ostale odredbe Programa se ne mijenjaju, niti se dopunjuju.</w:t>
      </w:r>
    </w:p>
    <w:p>
      <w:pPr>
        <w:pStyle w:val="Normal"/>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4.</w:t>
      </w:r>
    </w:p>
    <w:p>
      <w:pPr>
        <w:pStyle w:val="Normal"/>
        <w:jc w:val="both"/>
        <w:rPr>
          <w:rFonts w:ascii="Times New Roman" w:hAnsi="Times New Roman"/>
          <w:lang w:val="hr-HR"/>
        </w:rPr>
      </w:pPr>
      <w:r>
        <w:rPr>
          <w:rFonts w:eastAsia="Calibri" w:cs="Times New Roman" w:ascii="Times New Roman" w:hAnsi="Times New Roman"/>
          <w:lang w:val="hr-HR"/>
        </w:rPr>
        <w:tab/>
        <w:t>Ovaj Izmje</w:t>
      </w:r>
      <w:r>
        <w:rPr>
          <w:rFonts w:eastAsia="Calibri" w:cs="Times New Roman" w:ascii="Times New Roman" w:hAnsi="Times New Roman"/>
          <w:color w:val="000000"/>
          <w:lang w:val="hr-HR"/>
        </w:rPr>
        <w:t>ne i dopune Programa stupaju na snagu dan nakon dana objave u Službenom glasniku Općine Negoslavci.</w:t>
      </w:r>
    </w:p>
    <w:p>
      <w:pPr>
        <w:pStyle w:val="Normal"/>
        <w:jc w:val="right"/>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right"/>
        <w:rPr>
          <w:rFonts w:ascii="Times New Roman" w:hAnsi="Times New Roman"/>
          <w:lang w:val="hr-HR"/>
        </w:rPr>
      </w:pPr>
      <w:r>
        <w:rPr>
          <w:rFonts w:eastAsia="Calibri" w:cs="Times New Roman" w:ascii="Times New Roman" w:hAnsi="Times New Roman"/>
          <w:b/>
          <w:lang w:val="hr-HR"/>
        </w:rPr>
        <w:t>PREDSJEDNIK OPĆINSKOG VIJEĆA:</w:t>
      </w:r>
    </w:p>
    <w:p>
      <w:pPr>
        <w:pStyle w:val="Normal"/>
        <w:jc w:val="right"/>
        <w:rPr>
          <w:rFonts w:ascii="Times New Roman" w:hAnsi="Times New Roman"/>
          <w:lang w:val="hr-HR"/>
        </w:rPr>
      </w:pPr>
      <w:r>
        <w:rPr>
          <w:rFonts w:eastAsia="Calibri" w:cs="Times New Roman" w:ascii="Times New Roman" w:hAnsi="Times New Roman"/>
          <w:lang w:val="hr-HR"/>
        </w:rPr>
        <w:t>Miodrag Mišanović</w:t>
      </w:r>
    </w:p>
    <w:sectPr>
      <w:footerReference w:type="default" r:id="rId3"/>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odnoje"/>
      <w:jc w:val="center"/>
      <w:rPr/>
    </w:pPr>
    <w:r>
      <w:rPr/>
      <w:fldChar w:fldCharType="begin"/>
    </w:r>
    <w:r>
      <w:rPr/>
      <w:instrText xml:space="preserve"> PAGE </w:instrText>
    </w:r>
    <w:r>
      <w:rPr/>
      <w:fldChar w:fldCharType="separate"/>
    </w:r>
    <w:r>
      <w:rPr/>
      <w:t>3</w:t>
    </w:r>
    <w:r>
      <w:rPr/>
      <w:fldChar w:fldCharType="end"/>
    </w:r>
  </w:p>
</w:ftr>
</file>

<file path=word/settings.xml><?xml version="1.0" encoding="utf-8"?>
<w:settings xmlns:w="http://schemas.openxmlformats.org/wordprocessingml/2006/main">
  <w:zoom w:percent="180"/>
  <w:defaultTabStop w:val="709"/>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character" w:styleId="DefaultParagraphFont" w:default="1">
    <w:name w:val="Default Paragraph Font"/>
    <w:uiPriority w:val="1"/>
    <w:semiHidden/>
    <w:unhideWhenUsed/>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Caption">
    <w:name w:val="caption"/>
    <w:basedOn w:val="Normal"/>
    <w:qFormat/>
    <w:pPr>
      <w:suppressLineNumbers/>
      <w:spacing w:before="120" w:after="120"/>
    </w:pPr>
    <w:rPr>
      <w:i/>
      <w:iCs/>
    </w:rPr>
  </w:style>
  <w:style w:type="paragraph" w:styleId="Zaglavljeipodnoje" w:customStyle="1">
    <w:name w:val="Zaglavlje i podnožje"/>
    <w:basedOn w:val="Normal"/>
    <w:qFormat/>
    <w:pPr>
      <w:suppressLineNumbers/>
      <w:tabs>
        <w:tab w:val="clear" w:pos="709"/>
        <w:tab w:val="center" w:pos="4819" w:leader="none"/>
        <w:tab w:val="right" w:pos="9638" w:leader="none"/>
      </w:tabs>
    </w:pPr>
    <w:rPr/>
  </w:style>
  <w:style w:type="paragraph" w:styleId="Podnoje">
    <w:name w:val="Footer"/>
    <w:basedOn w:val="Zaglavljeipodnoje"/>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Application>LibreOffice/7.4.1.2$Windows_X86_64 LibreOffice_project/3c58a8f3a960df8bc8fd77b461821e42c061c5f0</Application>
  <AppVersion>15.0000</AppVersion>
  <Pages>3</Pages>
  <Words>1028</Words>
  <Characters>6725</Characters>
  <CharactersWithSpaces>8480</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2024-01-11T09:23:00Z</dcterms:created>
  <dc:creator/>
  <dc:description/>
  <dc:language>hr-HR</dc:language>
  <cp:lastModifiedBy/>
  <cp:lastPrinted>2025-01-13T13:11:05Z</cp:lastPrinted>
  <dcterms:modified xsi:type="dcterms:W3CDTF">2026-07-15T12:20:22Z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