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pćina </w:t>
      </w:r>
      <w:r>
        <w:rPr>
          <w:rFonts w:cs="Times New Roman" w:ascii="Times New Roman" w:hAnsi="Times New Roman"/>
          <w:b/>
          <w:bCs/>
          <w:sz w:val="24"/>
          <w:szCs w:val="24"/>
        </w:rPr>
        <w:t>N</w:t>
      </w:r>
      <w:r>
        <w:rPr>
          <w:rFonts w:cs="Times New Roman" w:ascii="Times New Roman" w:hAnsi="Times New Roman"/>
          <w:b/>
          <w:bCs/>
          <w:sz w:val="24"/>
          <w:szCs w:val="24"/>
        </w:rPr>
        <w:t>egoslavci</w:t>
      </w:r>
    </w:p>
    <w:p>
      <w:pPr>
        <w:pStyle w:val="Normal"/>
        <w:spacing w:lineRule="auto" w:line="240" w:before="0" w:after="0"/>
        <w:ind w:lef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Općinsko vijeće</w:t>
      </w:r>
    </w:p>
    <w:p>
      <w:pPr>
        <w:pStyle w:val="Normal"/>
        <w:spacing w:before="0" w:after="0"/>
        <w:ind w:left="0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>brazloženje  i. izmjena i dopuna proračuna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pćine </w:t>
      </w:r>
      <w:r>
        <w:rPr>
          <w:rFonts w:cs="Times New Roman" w:ascii="Times New Roman" w:hAnsi="Times New Roman"/>
          <w:b/>
          <w:bCs/>
          <w:sz w:val="24"/>
          <w:szCs w:val="24"/>
        </w:rPr>
        <w:t>N</w:t>
      </w:r>
      <w:r>
        <w:rPr>
          <w:rFonts w:cs="Times New Roman" w:ascii="Times New Roman" w:hAnsi="Times New Roman"/>
          <w:b/>
          <w:bCs/>
          <w:sz w:val="24"/>
          <w:szCs w:val="24"/>
        </w:rPr>
        <w:t>egoslavci za 2026. godinu</w:t>
      </w:r>
    </w:p>
    <w:p>
      <w:pPr>
        <w:pStyle w:val="Stilnaslova1"/>
        <w:numPr>
          <w:ilvl w:val="0"/>
          <w:numId w:val="1"/>
        </w:numPr>
        <w:ind w:left="0" w:hanging="426"/>
        <w:rPr>
          <w:sz w:val="24"/>
          <w:szCs w:val="24"/>
        </w:rPr>
      </w:pPr>
      <w:bookmarkStart w:id="0" w:name="_Toc193725193"/>
      <w:bookmarkStart w:id="1" w:name="_Toc88481282"/>
      <w:bookmarkStart w:id="2" w:name="_Toc88480339"/>
      <w:r>
        <w:rPr>
          <w:rFonts w:ascii="Times New Roman" w:hAnsi="Times New Roman"/>
          <w:sz w:val="24"/>
          <w:szCs w:val="24"/>
        </w:rPr>
        <w:t>UVOD</w:t>
      </w:r>
      <w:bookmarkEnd w:id="0"/>
      <w:bookmarkEnd w:id="1"/>
      <w:bookmarkEnd w:id="2"/>
    </w:p>
    <w:p>
      <w:pPr>
        <w:pStyle w:val="Obinitekst1"/>
        <w:spacing w:lineRule="auto" w:line="240"/>
        <w:ind w:lef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Sukladno članku 45. Zakona o proračunu (NN 144/21) Općina Negoslavci izradila je Prve izmjene i dopune Proračuna za 2026. godinu. Metodologija izrade Prvih izmjena i dopuna Proračuna je istovjetna donošenju Proračuna.</w:t>
      </w:r>
    </w:p>
    <w:p>
      <w:pPr>
        <w:pStyle w:val="Normal"/>
        <w:spacing w:before="0" w:after="143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Ovim Izmjenama i dopunama Proračun za 2026. </w:t>
      </w:r>
      <w:r>
        <w:rPr>
          <w:bCs/>
          <w:sz w:val="24"/>
          <w:szCs w:val="24"/>
        </w:rPr>
        <w:t>planiraju se prihodi i primici u iznosu od 1.310.458,00</w:t>
      </w:r>
      <w:r>
        <w:rPr>
          <w:bCs/>
          <w:sz w:val="24"/>
          <w:szCs w:val="24"/>
          <w:highlight w:val="yellow"/>
        </w:rPr>
        <w:t xml:space="preserve"> </w:t>
      </w:r>
      <w:r>
        <w:rPr>
          <w:bCs/>
          <w:sz w:val="24"/>
          <w:szCs w:val="24"/>
        </w:rPr>
        <w:t xml:space="preserve">€, rashodi i izdaci u iznosu 1.534.313,09 € te višak prihoda u iznosu 223.855,09 €. </w:t>
      </w:r>
    </w:p>
    <w:tbl>
      <w:tblPr>
        <w:tblW w:w="110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273"/>
        <w:gridCol w:w="3741"/>
        <w:gridCol w:w="1700"/>
        <w:gridCol w:w="1702"/>
        <w:gridCol w:w="2995"/>
      </w:tblGrid>
      <w:tr>
        <w:trPr>
          <w:trHeight w:val="690" w:hRule="atLeast"/>
        </w:trPr>
        <w:tc>
          <w:tcPr>
            <w:tcW w:w="6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BR.</w:t>
            </w:r>
          </w:p>
        </w:tc>
        <w:tc>
          <w:tcPr>
            <w:tcW w:w="2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7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VRSTA PRIHODA /IZDATAKA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PLAN 2026.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POVEĆANJE/SMENJENJE</w:t>
            </w:r>
          </w:p>
        </w:tc>
        <w:tc>
          <w:tcPr>
            <w:tcW w:w="2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NOVI PLAN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0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UKUPNO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1.318.190,00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 xml:space="preserve">-7.732.00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1.310.458,00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POSLOVANJA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1.318.190,00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 xml:space="preserve">-7.732,00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1.310.458,00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UKUPNO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1.425.190,00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 xml:space="preserve">109.123,09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1.534.313,09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 POSLOVANJA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930.190,00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 xml:space="preserve">22.455,09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952.645,09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495.000,00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 xml:space="preserve">86.668,00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hr-HR"/>
                <w14:ligatures w14:val="none"/>
              </w:rPr>
              <w:t>581.668,00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7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741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VIŠAK/MANJAK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107.000,00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  <w:t xml:space="preserve">116.855,09 </w:t>
            </w:r>
          </w:p>
        </w:tc>
        <w:tc>
          <w:tcPr>
            <w:tcW w:w="299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223.855,09</w:t>
            </w:r>
          </w:p>
        </w:tc>
      </w:tr>
    </w:tbl>
    <w:p>
      <w:pPr>
        <w:pStyle w:val="Normal"/>
        <w:ind w:left="0" w:hanging="0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7"/>
        <w:gridCol w:w="188"/>
        <w:gridCol w:w="189"/>
        <w:gridCol w:w="188"/>
        <w:gridCol w:w="190"/>
      </w:tblGrid>
      <w:tr>
        <w:trPr>
          <w:trHeight w:val="225" w:hRule="atLeast"/>
        </w:trPr>
        <w:tc>
          <w:tcPr>
            <w:tcW w:w="9877" w:type="dxa"/>
            <w:tcBorders/>
            <w:vAlign w:val="center"/>
          </w:tcPr>
          <w:p>
            <w:pPr>
              <w:pStyle w:val="Stilnaslova1"/>
              <w:widowControl w:val="false"/>
              <w:numPr>
                <w:ilvl w:val="0"/>
                <w:numId w:val="1"/>
              </w:numPr>
              <w:spacing w:before="0" w:after="0"/>
              <w:ind w:left="0" w:hanging="426"/>
              <w:rPr>
                <w:sz w:val="24"/>
                <w:szCs w:val="24"/>
              </w:rPr>
            </w:pPr>
            <w:bookmarkStart w:id="3" w:name="_Toc193725194"/>
            <w:bookmarkStart w:id="4" w:name="_Toc88481283"/>
            <w:bookmarkStart w:id="5" w:name="_Toc88480340"/>
            <w:bookmarkStart w:id="6" w:name="_Toc87887594"/>
            <w:bookmarkStart w:id="7" w:name="_Toc87885884"/>
            <w:r>
              <w:rPr>
                <w:rFonts w:ascii="Times New Roman" w:hAnsi="Times New Roman"/>
                <w:sz w:val="24"/>
                <w:szCs w:val="24"/>
              </w:rPr>
              <w:t xml:space="preserve">OBRAZLOŽENJE 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4"/>
                <w:szCs w:val="24"/>
              </w:rPr>
              <w:t>OPĆEG DIJ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ORAČUNA</w:t>
            </w:r>
            <w:bookmarkEnd w:id="3"/>
          </w:p>
          <w:p>
            <w:pPr>
              <w:pStyle w:val="Stilnaslova2"/>
              <w:widowControl w:val="false"/>
              <w:ind w:left="0" w:hanging="0"/>
              <w:rPr>
                <w:sz w:val="24"/>
                <w:szCs w:val="24"/>
              </w:rPr>
            </w:pPr>
            <w:bookmarkStart w:id="8" w:name="_Toc193725195"/>
            <w:bookmarkStart w:id="9" w:name="_Toc88481284"/>
            <w:bookmarkStart w:id="10" w:name="_Toc88480341"/>
            <w:bookmarkStart w:id="11" w:name="_Toc87887595"/>
            <w:bookmarkStart w:id="12" w:name="_Toc87885885"/>
            <w:bookmarkStart w:id="13" w:name="_Toc57199840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B.1.</w:t>
              <w:tab/>
              <w:t>OBRAZLOŽENJE PRIHODA I RASHODA, PRIMITAKA I IZDATAKA</w:t>
            </w:r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Ovim izmjenama ukupni prihodi i primici konsolidiranog Proračuna za 2026. planirani su u visini 1.310.458,00 €.</w:t>
            </w:r>
          </w:p>
          <w:p>
            <w:pPr>
              <w:pStyle w:val="Normal"/>
              <w:widowControl w:val="fals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Ovim izmjenama mijenja se iznos Prihoda i primitaka kako je prikazano u sljedećoj tablici. </w:t>
            </w:r>
          </w:p>
          <w:tbl>
            <w:tblPr>
              <w:tblW w:w="11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0"/>
              <w:gridCol w:w="3027"/>
              <w:gridCol w:w="1418"/>
              <w:gridCol w:w="1559"/>
              <w:gridCol w:w="1418"/>
              <w:gridCol w:w="3377"/>
            </w:tblGrid>
            <w:tr>
              <w:trPr>
                <w:trHeight w:val="645" w:hRule="atLeast"/>
              </w:trPr>
              <w:tc>
                <w:tcPr>
                  <w:tcW w:w="36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Brojčana oznaka i naziv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Plan 2025.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POVEĆANJE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SMANJENJE</w:t>
                  </w:r>
                </w:p>
              </w:tc>
              <w:tc>
                <w:tcPr>
                  <w:tcW w:w="3377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color="000000" w:fill="D9D9D9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NOVI PLAN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3607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 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UKUPNO PRIHODI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2.276.089,00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294.679,92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1.361.987,00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1.208.781,92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2.276.089,00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294.679,92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1.361.987,00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1.208.781,92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61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poreza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218.000,00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217.000,00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1.730.000,00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292.379,92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1.259.070,00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763.309,92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64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imovine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4.190,00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1.300,00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1.800,00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3.690,00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23.899,00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117,00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24.782,00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66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ind w:left="0" w:hanging="0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200.000,00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ind w:lef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8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8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0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Stilnaslova3"/>
        <w:spacing w:before="0" w:after="0"/>
        <w:ind w:left="0" w:hanging="0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Stilnaslova3"/>
        <w:spacing w:before="0" w:after="0"/>
        <w:ind w:left="0" w:hanging="0"/>
        <w:rPr>
          <w:sz w:val="24"/>
          <w:szCs w:val="24"/>
        </w:rPr>
      </w:pPr>
      <w:bookmarkStart w:id="14" w:name="_Toc193725197"/>
      <w:r>
        <w:rPr>
          <w:rFonts w:ascii="Times New Roman" w:hAnsi="Times New Roman"/>
          <w:sz w:val="24"/>
          <w:szCs w:val="24"/>
        </w:rPr>
        <w:t xml:space="preserve">B.1.1.1. </w:t>
        <w:tab/>
        <w:t>PRIHODI POSLOVANJA</w:t>
      </w:r>
      <w:bookmarkEnd w:id="14"/>
      <w:r>
        <w:rPr>
          <w:rFonts w:ascii="Times New Roman" w:hAnsi="Times New Roman"/>
          <w:sz w:val="24"/>
          <w:szCs w:val="24"/>
        </w:rPr>
        <w:tab/>
        <w:tab/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Skupina 63 –</w:t>
      </w:r>
      <w:r>
        <w:rPr>
          <w:sz w:val="24"/>
          <w:szCs w:val="24"/>
        </w:rPr>
        <w:t xml:space="preserve"> Prihodi od pomoći planirani su u iznosu 764.718,00 €, a ovim Izmjenama i dopunama Proračuna smanjuju se za 7.732,00 €. Ovo smanjenje odnosi se na smanjenje prihoda od pomoći za projekt rekonstrukcije nogostupa.</w:t>
      </w:r>
    </w:p>
    <w:p>
      <w:pPr>
        <w:pStyle w:val="Stilnaslova3"/>
        <w:spacing w:before="0" w:after="0"/>
        <w:ind w:left="0" w:hanging="0"/>
        <w:rPr>
          <w:sz w:val="24"/>
          <w:szCs w:val="24"/>
        </w:rPr>
      </w:pPr>
      <w:bookmarkStart w:id="15" w:name="_Toc193725198"/>
      <w:r>
        <w:rPr>
          <w:rFonts w:ascii="Times New Roman" w:hAnsi="Times New Roman"/>
          <w:sz w:val="24"/>
          <w:szCs w:val="24"/>
        </w:rPr>
        <w:t>B.1.2. RASHODI I IZDACI</w:t>
      </w:r>
      <w:bookmarkEnd w:id="15"/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Ovim izmjenama ukupni rashodi i izdaci konsolidiranog Proračuna za 2026. koji su planirani u visini 1.534.313,09 € povećavaju se za 109.123,09 € i sada iznose 1.534.313,09 €.</w:t>
      </w:r>
    </w:p>
    <w:p>
      <w:pPr>
        <w:pStyle w:val="Tijelotekstauvlaka21"/>
        <w:spacing w:lineRule="auto" w:line="240"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Ovim izmjenama mijenja se iznos Rashoda i izdataka kako je prikazano u sljedećoj tablici. </w:t>
      </w:r>
    </w:p>
    <w:tbl>
      <w:tblPr>
        <w:tblW w:w="113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"/>
        <w:gridCol w:w="3340"/>
        <w:gridCol w:w="1172"/>
        <w:gridCol w:w="1418"/>
        <w:gridCol w:w="1559"/>
        <w:gridCol w:w="3310"/>
      </w:tblGrid>
      <w:tr>
        <w:trPr>
          <w:trHeight w:val="645" w:hRule="atLeast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Plan 2025.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Povećanje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Smanjenje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NOVI PLAN</w:t>
            </w:r>
          </w:p>
        </w:tc>
      </w:tr>
      <w:tr>
        <w:trPr>
          <w:trHeight w:val="195" w:hRule="atLeast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2.647.917,81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204.679,92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1.271.987,00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1.580.610,73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poslovanja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1.028.089,00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200.679,92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227.279,00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1.001.489,92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zaposlene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376.800,00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104.730,00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481.530,00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Materijalni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373.314,00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54.370,00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158.814,00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268.870,00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34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Financijski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4.930,00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7.430,00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36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37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78.150,00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28.200,00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60.350,00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38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184.895,00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27.679,92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29.265,00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183.309,92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1.619.828,81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1.044.708,00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579.120,81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42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981.000,00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825.500,00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159.500,00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45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638.828,81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219.208,00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419.620,81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172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</w:tbl>
    <w:p>
      <w:pPr>
        <w:pStyle w:val="Stilnaslova4"/>
        <w:ind w:left="0" w:hanging="0"/>
        <w:rPr>
          <w:sz w:val="24"/>
          <w:szCs w:val="24"/>
        </w:rPr>
      </w:pPr>
      <w:bookmarkStart w:id="16" w:name="_Toc193725199"/>
      <w:bookmarkStart w:id="17" w:name="_Toc88481288"/>
      <w:r>
        <w:rPr>
          <w:rFonts w:ascii="Times New Roman" w:hAnsi="Times New Roman"/>
          <w:sz w:val="24"/>
          <w:szCs w:val="24"/>
        </w:rPr>
        <w:t>B.1.2.1.RASHODI POSLOVANJA</w:t>
      </w:r>
      <w:bookmarkEnd w:id="16"/>
      <w:bookmarkEnd w:id="17"/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Skupina 32</w:t>
      </w:r>
      <w:r>
        <w:rPr>
          <w:sz w:val="24"/>
          <w:szCs w:val="24"/>
        </w:rPr>
        <w:t xml:space="preserve"> - Materijalni rashodi se povećavaju za 16.664,09 € i prvenstveno se odnose na povećanje rashoda na ime ugovora o djelu iz razloga što su ukinuta sredstva za zapošljavanje javnih radova te općina mora angažirati komunalne redare i plaćati ih preko ugovora o djelu. </w:t>
      </w:r>
      <w:r>
        <w:rPr>
          <w:b/>
          <w:sz w:val="24"/>
          <w:szCs w:val="24"/>
        </w:rPr>
        <w:t xml:space="preserve">Skupina 37 - </w:t>
      </w:r>
      <w:r>
        <w:rPr>
          <w:bCs/>
          <w:sz w:val="24"/>
          <w:szCs w:val="24"/>
        </w:rPr>
        <w:t>Naknade građanima i kućanstvima na temelju osiguranja i druge naknade rebalansom se povećavaju za 15.000,00 € a odnose se na sufinanciranje dječjih ekskurzija.</w:t>
      </w:r>
    </w:p>
    <w:p>
      <w:pPr>
        <w:pStyle w:val="Stilnaslova3"/>
        <w:ind w:left="0" w:hanging="0"/>
        <w:rPr>
          <w:sz w:val="24"/>
          <w:szCs w:val="24"/>
        </w:rPr>
      </w:pPr>
      <w:bookmarkStart w:id="18" w:name="_Toc193725200"/>
      <w:bookmarkStart w:id="19" w:name="_Toc88481289"/>
      <w:r>
        <w:rPr>
          <w:rFonts w:ascii="Times New Roman" w:hAnsi="Times New Roman"/>
          <w:sz w:val="24"/>
          <w:szCs w:val="24"/>
        </w:rPr>
        <w:t>B.1.2.2. RASHODI ZA NABAVU NEFINANCIJSKE IMOVINE</w:t>
      </w:r>
      <w:bookmarkEnd w:id="18"/>
      <w:bookmarkEnd w:id="19"/>
    </w:p>
    <w:p>
      <w:pPr>
        <w:pStyle w:val="Normal"/>
        <w:spacing w:before="0" w:after="0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Skupina 42</w:t>
      </w:r>
      <w:r>
        <w:rPr>
          <w:sz w:val="24"/>
          <w:szCs w:val="24"/>
        </w:rPr>
        <w:t xml:space="preserve"> – Rashodi za nabavu proizvedene dugotrajne imovine povećavaju se  za 131.968,00 €. Ovo povećanje odnosi se na izgradnju tribina na nogometnom igralištu koji će se financirati sredstvima LAG Srijem u iznosu 86.268.00 € te sredstvima ZVO-a u iznosu 47.700,00 €.povećanje rekonstrukcije Etno kuće u iznosu 50.000,00 €U okviru ove skupine ukidaju se rashodi za projekt izgradnja dječjeg vrtića u općini Negoslavci u iznosu 800.000,00 €.</w:t>
      </w:r>
    </w:p>
    <w:p>
      <w:pPr>
        <w:pStyle w:val="Normal"/>
        <w:spacing w:before="0" w:after="0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Skupina 45 – </w:t>
      </w:r>
      <w:r>
        <w:rPr>
          <w:bCs/>
          <w:sz w:val="24"/>
          <w:szCs w:val="24"/>
        </w:rPr>
        <w:t>Rashodi za dodatna ulaganja na nefinancijskoj imovini smanjuj se za 45.300,00 € a odnosi se na smanjenje sredstava za rekonstrukciju cesta u opčini Negoslavci.</w:t>
      </w:r>
    </w:p>
    <w:p>
      <w:pPr>
        <w:pStyle w:val="Normal"/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0" w:name="_Toc193725201"/>
      <w:r>
        <w:rPr>
          <w:rFonts w:ascii="Times New Roman" w:hAnsi="Times New Roman"/>
          <w:b/>
          <w:bCs/>
          <w:color w:val="auto"/>
          <w:sz w:val="24"/>
          <w:szCs w:val="24"/>
        </w:rPr>
        <w:t>B.2. OBRAZLOŽENJE PRENESENOG MANJKA ODNOSNO VIŠKA</w:t>
      </w:r>
      <w:bookmarkEnd w:id="20"/>
    </w:p>
    <w:p>
      <w:pPr>
        <w:pStyle w:val="Normal"/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Oduzmemo li od ukupno ostvarenih prihoda ukupno ostvarene rashode iz 2025. godine dobivamo višak prihoda nad rashodima u iznosu od 223.855,09 €. Prilikom izrade proračuna za 2026. godine planiran je višak od 107.000,00 €, te je prvim izmjenama i dopunama proračuna za 2026. godinu povećan višak za 116.855,09 € do ukupno ostvarenog viška prihoda iz 2025. godine.</w:t>
      </w:r>
    </w:p>
    <w:p>
      <w:pPr>
        <w:pStyle w:val="Stilnaslova1"/>
        <w:numPr>
          <w:ilvl w:val="0"/>
          <w:numId w:val="1"/>
        </w:numPr>
        <w:ind w:left="0" w:hanging="426"/>
        <w:rPr>
          <w:sz w:val="24"/>
          <w:szCs w:val="24"/>
        </w:rPr>
      </w:pPr>
      <w:bookmarkStart w:id="21" w:name="_Toc193725202"/>
      <w:bookmarkStart w:id="22" w:name="_Toc88481291"/>
      <w:bookmarkStart w:id="23" w:name="_Toc88480343"/>
      <w:bookmarkStart w:id="24" w:name="_Toc87887597"/>
      <w:bookmarkStart w:id="25" w:name="_Toc87885887"/>
      <w:r>
        <w:rPr>
          <w:rFonts w:ascii="Times New Roman" w:hAnsi="Times New Roman"/>
          <w:sz w:val="24"/>
          <w:szCs w:val="24"/>
        </w:rPr>
        <w:t xml:space="preserve">OBRAZLOŽENJE POSEBNOG DIJELA PRORAČUNA </w:t>
      </w:r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PO ORGANIZACIJI I PROGRAMIMA</w:t>
      </w:r>
      <w:bookmarkEnd w:id="21"/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U nastavku se daje obrazloženje proračuna po organizacijskoj i  programskoj klasifikaciji, te po izvorima financiranja.</w:t>
      </w:r>
    </w:p>
    <w:p>
      <w:pPr>
        <w:pStyle w:val="Stilnaslova2"/>
        <w:ind w:left="0" w:hanging="0"/>
        <w:rPr>
          <w:sz w:val="24"/>
          <w:szCs w:val="24"/>
        </w:rPr>
      </w:pPr>
      <w:bookmarkStart w:id="26" w:name="_Toc193725203"/>
      <w:bookmarkStart w:id="27" w:name="_Toc88481292"/>
      <w:bookmarkStart w:id="28" w:name="_Toc88480344"/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C.1. </w:t>
      </w:r>
      <w:bookmarkEnd w:id="26"/>
      <w:bookmarkEnd w:id="27"/>
      <w:bookmarkEnd w:id="28"/>
      <w:r>
        <w:rPr>
          <w:rFonts w:ascii="Times New Roman" w:hAnsi="Times New Roman"/>
          <w:b/>
          <w:bCs/>
          <w:color w:val="auto"/>
          <w:sz w:val="24"/>
          <w:szCs w:val="24"/>
        </w:rPr>
        <w:t>Glava 001 03 JEDINSTVENI UPRAVNI ODJEL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  <w:t>Ukupni rashodi u Jedinstvenom upravnom odjelu dani su u tablici koja slijedi.</w:t>
      </w:r>
    </w:p>
    <w:tbl>
      <w:tblPr>
        <w:tblW w:w="94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7"/>
        <w:gridCol w:w="4600"/>
        <w:gridCol w:w="1659"/>
        <w:gridCol w:w="1600"/>
      </w:tblGrid>
      <w:tr>
        <w:trPr>
          <w:trHeight w:val="255" w:hRule="atLeast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RAZDJEL </w:t>
            </w:r>
          </w:p>
        </w:tc>
        <w:tc>
          <w:tcPr>
            <w:tcW w:w="4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001  OPĆINSKO VIJEĆE I OPĆINSKI NAČELNIK I TIJELA SAMOUPRAVE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Plan 2026.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Novi plan 2026.</w:t>
            </w:r>
          </w:p>
        </w:tc>
      </w:tr>
      <w:tr>
        <w:trPr>
          <w:trHeight w:val="427" w:hRule="atLeast"/>
        </w:trPr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t>Glava 001 02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6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1.406.890,00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1.518.513,09</w:t>
            </w:r>
          </w:p>
        </w:tc>
      </w:tr>
    </w:tbl>
    <w:p>
      <w:pPr>
        <w:pStyle w:val="Stilnaslova3"/>
        <w:ind w:left="0" w:hanging="0"/>
        <w:rPr>
          <w:sz w:val="24"/>
          <w:szCs w:val="24"/>
        </w:rPr>
      </w:pPr>
      <w:bookmarkStart w:id="29" w:name="_Toc193725204"/>
      <w:bookmarkStart w:id="30" w:name="_Toc88481293"/>
      <w:r>
        <w:rPr>
          <w:rFonts w:ascii="Times New Roman" w:hAnsi="Times New Roman"/>
          <w:sz w:val="24"/>
          <w:szCs w:val="24"/>
        </w:rPr>
        <w:t>C.1.1.</w:t>
        <w:tab/>
        <w:t>Glava: Jedinstveni upravni odjel</w:t>
      </w:r>
      <w:bookmarkEnd w:id="29"/>
      <w:bookmarkEnd w:id="30"/>
    </w:p>
    <w:p>
      <w:pPr>
        <w:pStyle w:val="Normal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Djelokrug:</w:t>
      </w:r>
    </w:p>
    <w:p>
      <w:pPr>
        <w:pStyle w:val="Normal"/>
        <w:spacing w:before="0" w:after="0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Jedinstveni</w:t>
      </w:r>
      <w:r>
        <w:rPr>
          <w:sz w:val="24"/>
          <w:szCs w:val="24"/>
        </w:rPr>
        <w:t xml:space="preserve"> upravni odjel obavlja sve stručne i administrativne poslove za potrebe Općinskog vijeća, Načelnika, te obavlja sve ostale poslove utvrđene zakonom.</w:t>
      </w:r>
    </w:p>
    <w:p>
      <w:pPr>
        <w:pStyle w:val="Normal"/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Općina u svom samoupravnom djelokrugu obavlja poslove lokalnog značenja kojima se neposredno ostvaruju potrebe građana, a koji nisu Ustavom ili zakonom dodijeljeni državnim tijelima i to osobito poslove koji se odnose na: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Uređenje naselja i stanovanja,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Prostorno i urbanističko planiranje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Komunalne djelatnosti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Briga o djeci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Socijalnu skrb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Primarnu zdravstvenu zaštitu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Odgoj i osnovno obrazovanje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Kulturu, tjelesnu kulturu i sport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Zaštitu potrošača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Zaštitu i unapređenje prirodnog okoliša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Protupožarnu zaštitu i civilnu zaštitu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Promet na području Općine</w:t>
      </w:r>
    </w:p>
    <w:p>
      <w:pPr>
        <w:pStyle w:val="ListParagraph"/>
        <w:numPr>
          <w:ilvl w:val="0"/>
          <w:numId w:val="7"/>
        </w:numPr>
        <w:ind w:left="0" w:hanging="36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Ostale poslove prema zakonu.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  <w:t>U Jedinstvenom upravnom odjelu ukupni rashodi planirani su u iznosu 1.406.890,00 €. Ovim Izmjenama i dopunama Proračuna rashodi su povećani za 111.623,09 € i sada iznose 1.518.513,09 €.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  <w:t>U nastavku dajemo prikaz i obrazloženje programa i aktivnosti unutar ovog razdjela koji se mijenjaju:</w:t>
      </w:r>
    </w:p>
    <w:p>
      <w:pPr>
        <w:pStyle w:val="Stilnaslova4"/>
        <w:numPr>
          <w:ilvl w:val="0"/>
          <w:numId w:val="3"/>
        </w:numPr>
        <w:ind w:left="0" w:hanging="426"/>
        <w:rPr>
          <w:sz w:val="24"/>
          <w:szCs w:val="24"/>
        </w:rPr>
      </w:pPr>
      <w:bookmarkStart w:id="31" w:name="_Toc193725205"/>
      <w:bookmarkStart w:id="32" w:name="_Toc181712658"/>
      <w:r>
        <w:rPr>
          <w:rFonts w:ascii="Times New Roman" w:hAnsi="Times New Roman"/>
          <w:sz w:val="24"/>
          <w:szCs w:val="24"/>
        </w:rPr>
        <w:t>PROGRAM:  JAVNE POTREBU OBRAZOVANJU</w:t>
      </w:r>
      <w:bookmarkEnd w:id="31"/>
      <w:bookmarkEnd w:id="32"/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ZAKONSKA OSNOVA</w:t>
      </w:r>
      <w:r>
        <w:rPr>
          <w:sz w:val="24"/>
          <w:szCs w:val="24"/>
        </w:rPr>
        <w:t xml:space="preserve">: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ind w:left="0" w:hanging="294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Zakon o lokalnoj i područnoj (regionalnoj) samoupravi („Narodne novine“ br. 33/01, 60/01, 129/05, 109/07, 125/08, 36/09, 36/09, 150/11, 144/12, 19/13, 137/15, 123/17, 98/19, 144/20), 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OPIS PROGRAMA</w:t>
      </w:r>
      <w:r>
        <w:rPr>
          <w:sz w:val="24"/>
          <w:szCs w:val="24"/>
        </w:rPr>
        <w:t xml:space="preserve">: Ovim programom osiguravaju se sredstva za aktivnosti i projekte iz područja predškolskog odgoja i obrazovanja iznad pedagoškog standarda.  Kroz ovaj program osiguravaju se sredstva za radionice u dječjim vrtićima, sredstva za plaću odgajateljice u vrtiću, sredstva za stipendije, za sufinanciranje prijevoza učenika srednjih škola,  radne bilježnice za učenike, preobuče za učenike i djecu u vrtiću, tekuće donacije školstvu i sl. Pregled aktivnosti planiranih u ovom programu dajemo u nastavku: 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40" w:before="0" w:after="0"/>
        <w:ind w:left="0" w:hanging="283"/>
        <w:jc w:val="both"/>
        <w:rPr>
          <w:sz w:val="24"/>
          <w:szCs w:val="24"/>
        </w:rPr>
      </w:pPr>
      <w:r>
        <w:rPr>
          <w:sz w:val="24"/>
          <w:szCs w:val="24"/>
        </w:rPr>
        <w:t>Predškolski odgoj i obrazovanje iznad pedagoških standarda je aktivnost u kojoj su planirani rashodi za radionice u dječjim vrtićima, sredstva za stipendije, za sufinanciranje prijevoza učenika srednjih škola, tekuće donacije školstvu i sl.</w:t>
      </w:r>
    </w:p>
    <w:p>
      <w:pPr>
        <w:pStyle w:val="Normal"/>
        <w:spacing w:before="0" w:after="29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CILJ PROGRAMA</w:t>
      </w:r>
    </w:p>
    <w:p>
      <w:pPr>
        <w:pStyle w:val="Normal"/>
        <w:spacing w:before="0" w:after="2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Obavljanja poslova iz samoupravnog djelokruga i njihovo unaprjeđenje sa svrhom poboljšanja kvalitete usluge stanovnicima Općine.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POKAZATELJ USPJEŠNOSTI</w:t>
      </w:r>
    </w:p>
    <w:tbl>
      <w:tblPr>
        <w:tblW w:w="104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3"/>
        <w:gridCol w:w="1559"/>
        <w:gridCol w:w="1275"/>
        <w:gridCol w:w="1134"/>
        <w:gridCol w:w="993"/>
        <w:gridCol w:w="993"/>
        <w:gridCol w:w="989"/>
        <w:gridCol w:w="6"/>
      </w:tblGrid>
      <w:tr>
        <w:trPr>
          <w:trHeight w:val="448" w:hRule="atLeast"/>
        </w:trPr>
        <w:tc>
          <w:tcPr>
            <w:tcW w:w="3543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Aktivnost/ projekt</w:t>
            </w:r>
          </w:p>
        </w:tc>
        <w:tc>
          <w:tcPr>
            <w:tcW w:w="1559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Pokazatelj rezultata </w:t>
            </w:r>
          </w:p>
        </w:tc>
        <w:tc>
          <w:tcPr>
            <w:tcW w:w="12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Početna vrijednost </w:t>
            </w:r>
          </w:p>
        </w:tc>
        <w:tc>
          <w:tcPr>
            <w:tcW w:w="4109" w:type="dxa"/>
            <w:gridSpan w:val="4"/>
            <w:tcBorders/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CILJANA VRIJEDNOST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3543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5" w:type="dxa"/>
            <w:gridSpan w:val="2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188" w:hRule="atLeast"/>
        </w:trPr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A100100 Priprema i donošenje akata</w:t>
              <w:br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pisanih pritužbi građana na rad djelatnika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ilnaslova4"/>
        <w:numPr>
          <w:ilvl w:val="0"/>
          <w:numId w:val="3"/>
        </w:numPr>
        <w:ind w:left="0" w:hanging="426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PROGRAM:  Održavanje objekata i uređenje infrastrukture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ZAKONSKA OSNOVA</w:t>
      </w:r>
      <w:r>
        <w:rPr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294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Zakon o komunalnom gospodarstvu („Narodne novine“ br. 68/18, 110/18, 32/20), 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294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Zakon o zaštiti od svjetlosnog onečišćenja (NN 14/19),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Zakon o cestama („Narodne novine“ br. 84/11, 22/13, 54/13, 148/13, 92/14, 110/19, 144/21, 114/22, 114/22, 04/23, 133/23),</w:t>
      </w:r>
      <w:r>
        <w:rPr>
          <w:rFonts w:cs="Calibri" w:ascii="Calibri" w:hAnsi="Calibri" w:asciiTheme="minorHAnsi" w:cstheme="minorHAnsi" w:hAnsiTheme="minorHAnsi"/>
          <w:color w:val="00B0F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akon o sigurnosti prometa na cestama</w:t>
      </w:r>
      <w:r>
        <w:rPr>
          <w:rFonts w:cs="Calibri" w:ascii="Calibri" w:hAnsi="Calibri" w:asciiTheme="minorHAnsi" w:cstheme="minorHAnsi" w:hAnsiTheme="minorHAnsi"/>
          <w:sz w:val="24"/>
          <w:szCs w:val="24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(„Narodne novine“ br. 67/08, 48/10, 74/11, 80/13, 158/13, 92/14, 64/15, 108/17, 70/19, 42/20, 85/22, 114/22, 133/23</w:t>
      </w:r>
      <w:r>
        <w:rPr>
          <w:rFonts w:cs="Calibri" w:ascii="Calibri" w:hAnsi="Calibri" w:asciiTheme="minorHAnsi" w:cstheme="minorHAnsi" w:hAnsiTheme="minorHAnsi"/>
          <w:sz w:val="24"/>
          <w:szCs w:val="24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, </w:t>
      </w:r>
    </w:p>
    <w:p>
      <w:pPr>
        <w:pStyle w:val="ListParagraph"/>
        <w:numPr>
          <w:ilvl w:val="0"/>
          <w:numId w:val="0"/>
        </w:numPr>
        <w:suppressAutoHyphens w:val="true"/>
        <w:ind w:left="0" w:hanging="0"/>
        <w:jc w:val="both"/>
        <w:outlineLvl w:val="0"/>
        <w:rPr>
          <w:iCs/>
          <w:color w:val="00B0F0"/>
          <w:sz w:val="24"/>
          <w:szCs w:val="24"/>
        </w:rPr>
      </w:pPr>
      <w:r>
        <w:rPr>
          <w:iCs/>
          <w:color w:val="00B0F0"/>
          <w:sz w:val="24"/>
          <w:szCs w:val="24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OPIS PROGRAMA</w:t>
      </w:r>
      <w:r>
        <w:rPr>
          <w:sz w:val="24"/>
          <w:szCs w:val="24"/>
        </w:rPr>
        <w:t xml:space="preserve">: Ovim programom osiguravaju se sredstva rekonstrukciju, izgradnju i opremanje komunalne infrastrukture. 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 okviru ovog programa planirane su aktivnosti:</w:t>
      </w:r>
    </w:p>
    <w:p>
      <w:pPr>
        <w:pStyle w:val="ListParagraph"/>
        <w:numPr>
          <w:ilvl w:val="0"/>
          <w:numId w:val="5"/>
        </w:numPr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Sanacije pješačkih staza </w:t>
        <w:tab/>
        <w:tab/>
        <w:tab/>
        <w:tab/>
        <w:t>20.000,00</w:t>
      </w:r>
    </w:p>
    <w:p>
      <w:pPr>
        <w:pStyle w:val="ListParagraph"/>
        <w:numPr>
          <w:ilvl w:val="0"/>
          <w:numId w:val="5"/>
        </w:numPr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Rekonstrukcija Etno kuće – Dom kultture</w:t>
        <w:tab/>
        <w:t xml:space="preserve">            250.000,00</w:t>
      </w:r>
    </w:p>
    <w:p>
      <w:pPr>
        <w:pStyle w:val="ListParagraph"/>
        <w:numPr>
          <w:ilvl w:val="0"/>
          <w:numId w:val="5"/>
        </w:numPr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Uređenje fasade Projekt centar   </w:t>
        <w:tab/>
        <w:t xml:space="preserve">            </w:t>
        <w:tab/>
        <w:t xml:space="preserve">              20.000,00</w:t>
      </w:r>
    </w:p>
    <w:p>
      <w:pPr>
        <w:pStyle w:val="ListParagraph"/>
        <w:numPr>
          <w:ilvl w:val="0"/>
          <w:numId w:val="5"/>
        </w:numPr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Sanacija društvenog doma</w:t>
        <w:tab/>
        <w:tab/>
        <w:tab/>
        <w:tab/>
        <w:t>13.700,00</w:t>
      </w:r>
    </w:p>
    <w:p>
      <w:pPr>
        <w:pStyle w:val="ListParagraph"/>
        <w:numPr>
          <w:ilvl w:val="0"/>
          <w:numId w:val="5"/>
        </w:numPr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Rekonstrukcija igrališta – umjetna trava</w:t>
        <w:tab/>
        <w:t xml:space="preserve">            102.000,00</w:t>
      </w:r>
    </w:p>
    <w:p>
      <w:pPr>
        <w:pStyle w:val="Normal"/>
        <w:tabs>
          <w:tab w:val="clear" w:pos="708"/>
          <w:tab w:val="left" w:pos="1595" w:leader="none"/>
        </w:tabs>
        <w:spacing w:lineRule="auto" w:line="276" w:before="0" w:after="0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CILJ PROGRAMA</w:t>
      </w:r>
    </w:p>
    <w:p>
      <w:pPr>
        <w:pStyle w:val="Normal"/>
        <w:tabs>
          <w:tab w:val="clear" w:pos="708"/>
          <w:tab w:val="left" w:pos="1595" w:leader="none"/>
        </w:tabs>
        <w:spacing w:lineRule="auto" w:line="276"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Poboljšanje dostupnosti i kvalitete stanovanja, uređenje i opremanje naselja s ciljem boljih životnih uvjeta za stanovnike.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POKAZATELJ USPJEŠNOSTI</w:t>
      </w:r>
    </w:p>
    <w:tbl>
      <w:tblPr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8"/>
        <w:gridCol w:w="3114"/>
        <w:gridCol w:w="1274"/>
        <w:gridCol w:w="709"/>
        <w:gridCol w:w="622"/>
        <w:gridCol w:w="622"/>
        <w:gridCol w:w="752"/>
      </w:tblGrid>
      <w:tr>
        <w:trPr>
          <w:trHeight w:val="576" w:hRule="atLeast"/>
        </w:trPr>
        <w:tc>
          <w:tcPr>
            <w:tcW w:w="3538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Aktivnost/ projekt</w:t>
            </w:r>
          </w:p>
        </w:tc>
        <w:tc>
          <w:tcPr>
            <w:tcW w:w="3114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Pokazatelj rezultata </w:t>
            </w:r>
          </w:p>
        </w:tc>
        <w:tc>
          <w:tcPr>
            <w:tcW w:w="12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Početna vrijednost </w:t>
            </w:r>
          </w:p>
        </w:tc>
        <w:tc>
          <w:tcPr>
            <w:tcW w:w="2705" w:type="dxa"/>
            <w:gridSpan w:val="4"/>
            <w:tcBorders/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CILJANA VRIJEDNOST</w:t>
            </w:r>
          </w:p>
        </w:tc>
      </w:tr>
      <w:tr>
        <w:trPr>
          <w:trHeight w:val="390" w:hRule="atLeast"/>
        </w:trPr>
        <w:tc>
          <w:tcPr>
            <w:tcW w:w="3538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22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22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52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>
        <w:trPr>
          <w:trHeight w:val="273" w:hRule="atLeast"/>
        </w:trPr>
        <w:tc>
          <w:tcPr>
            <w:tcW w:w="3538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Kapitalni projekt Rekonstrukcija Etno kuće</w:t>
            </w:r>
          </w:p>
        </w:tc>
        <w:tc>
          <w:tcPr>
            <w:tcW w:w="311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Postotak izgradnje </w:t>
            </w:r>
          </w:p>
        </w:tc>
        <w:tc>
          <w:tcPr>
            <w:tcW w:w="127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538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ilnaslova4"/>
        <w:numPr>
          <w:ilvl w:val="0"/>
          <w:numId w:val="3"/>
        </w:numPr>
        <w:ind w:left="0" w:hanging="426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  Izgradnja objekata i uređaja komunalne infrastrukture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ZAKONSKA OSNOVA</w:t>
      </w:r>
      <w:r>
        <w:rPr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294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Zakon o komunalnom gospodarstvu („Narodne novine“ br. 68/18, 110/18, 32/20), 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294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Zakon o zaštiti od svjetlosnog onečišćenja (NN 14/19),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Zakon o cestama („Narodne novine“ br. 84/11, 22/13, 54/13, 148/13, 92/14, 110/19, 144/21, 114/22, 114/22, 04/23, 133/23),</w:t>
      </w:r>
      <w:r>
        <w:rPr>
          <w:rFonts w:cs="Calibri" w:ascii="Calibri" w:hAnsi="Calibri" w:asciiTheme="minorHAnsi" w:cstheme="minorHAnsi" w:hAnsiTheme="minorHAnsi"/>
          <w:color w:val="00B0F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uppressAutoHyphens w:val="true"/>
        <w:spacing w:lineRule="atLeast" w:line="100"/>
        <w:ind w:left="0" w:hanging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akon o sigurnosti prometa na cestama</w:t>
      </w:r>
      <w:r>
        <w:rPr>
          <w:rFonts w:cs="Calibri" w:ascii="Calibri" w:hAnsi="Calibri" w:asciiTheme="minorHAnsi" w:cstheme="minorHAnsi" w:hAnsiTheme="minorHAnsi"/>
          <w:sz w:val="24"/>
          <w:szCs w:val="24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(„Narodne novine“ br. 67/08, 48/10, 74/11, 80/13, 158/13, 92/14, 64/15, 108/17, 70/19, 42/20, 85/22, 114/22, 133/23</w:t>
      </w:r>
      <w:r>
        <w:rPr>
          <w:rFonts w:cs="Calibri" w:ascii="Calibri" w:hAnsi="Calibri" w:asciiTheme="minorHAnsi" w:cstheme="minorHAnsi" w:hAnsiTheme="minorHAnsi"/>
          <w:sz w:val="24"/>
          <w:szCs w:val="24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,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Odluka o nerazvrstanim cestama </w:t>
      </w:r>
      <w:r>
        <w:rPr>
          <w:rFonts w:cs="Calibri" w:cstheme="minorHAnsi"/>
          <w:sz w:val="24"/>
          <w:szCs w:val="24"/>
        </w:rPr>
        <w:t>(„Službeni vjesnik“ Vukovarsko-srijemske županije, br. 21/13)</w:t>
      </w:r>
      <w:r>
        <w:rPr>
          <w:rFonts w:cs="Calibri" w:cstheme="minorHAnsi"/>
          <w:bCs/>
          <w:sz w:val="24"/>
          <w:szCs w:val="24"/>
        </w:rPr>
        <w:t xml:space="preserve"> i dr.</w:t>
      </w:r>
    </w:p>
    <w:p>
      <w:pPr>
        <w:pStyle w:val="Normal"/>
        <w:ind w:left="0" w:hanging="0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OPIS PROGRAMA</w:t>
      </w:r>
      <w:r>
        <w:rPr>
          <w:sz w:val="24"/>
          <w:szCs w:val="24"/>
        </w:rPr>
        <w:t xml:space="preserve">: Ovim programom osiguravaju se sredstva za izgradnju i opremanje komunalne infrastrukture. 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 okviru ovog programa planirana je aktivnost:</w:t>
      </w:r>
    </w:p>
    <w:p>
      <w:pPr>
        <w:pStyle w:val="ListParagraph"/>
        <w:numPr>
          <w:ilvl w:val="0"/>
          <w:numId w:val="6"/>
        </w:numPr>
        <w:ind w:left="0" w:hanging="360"/>
        <w:jc w:val="both"/>
        <w:rPr>
          <w:sz w:val="24"/>
          <w:szCs w:val="24"/>
        </w:rPr>
      </w:pPr>
      <w:r>
        <w:rPr>
          <w:sz w:val="24"/>
          <w:szCs w:val="24"/>
        </w:rPr>
        <w:t>Izgradnja tribina na nogometnom igralištu</w:t>
      </w:r>
    </w:p>
    <w:p>
      <w:pPr>
        <w:pStyle w:val="ListParagraph"/>
        <w:ind w:lef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KLASA:</w:t>
      </w:r>
      <w:r>
        <w:rPr>
          <w:sz w:val="24"/>
          <w:szCs w:val="24"/>
        </w:rPr>
        <w:t xml:space="preserve"> 400-03/26-</w:t>
      </w:r>
      <w:r>
        <w:rPr>
          <w:color w:val="000000"/>
          <w:sz w:val="24"/>
          <w:szCs w:val="24"/>
        </w:rPr>
        <w:t>01/01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URBROJ: </w:t>
      </w:r>
      <w:r>
        <w:rPr>
          <w:sz w:val="24"/>
          <w:szCs w:val="24"/>
        </w:rPr>
        <w:t>2196-19-02-26</w:t>
      </w:r>
      <w:r>
        <w:rPr>
          <w:color w:val="000000"/>
          <w:sz w:val="24"/>
          <w:szCs w:val="24"/>
        </w:rPr>
        <w:t>-05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Negoslavci,</w:t>
      </w:r>
      <w:r>
        <w:rPr>
          <w:sz w:val="24"/>
          <w:szCs w:val="24"/>
        </w:rPr>
        <w:t xml:space="preserve"> 25. lipanja 2026.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hanging="0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PREDSJEDNIK OPĆINSKOG VIJEĆA:</w:t>
      </w:r>
    </w:p>
    <w:p>
      <w:pPr>
        <w:pStyle w:val="ListParagraph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Miodrag Mišanović</w:t>
      </w:r>
    </w:p>
    <w:sectPr>
      <w:footerReference w:type="default" r:id="rId2"/>
      <w:type w:val="nextPage"/>
      <w:pgSz w:w="11906" w:h="16838"/>
      <w:pgMar w:left="1417" w:right="1417" w:gutter="0" w:header="0" w:top="1417" w:footer="1417" w:bottom="220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nsolas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7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3f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d67e86"/>
    <w:pPr>
      <w:keepNext w:val="true"/>
      <w:suppressAutoHyphens w:val="false"/>
      <w:spacing w:lineRule="auto" w:line="240"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eastAsia="hr-HR"/>
      <w14:ligatures w14:val="none"/>
    </w:rPr>
  </w:style>
  <w:style w:type="paragraph" w:styleId="Stilnaslova2">
    <w:name w:val="Heading 2"/>
    <w:basedOn w:val="Normal"/>
    <w:next w:val="Normal"/>
    <w:link w:val="Naslov2Char"/>
    <w:uiPriority w:val="9"/>
    <w:unhideWhenUsed/>
    <w:qFormat/>
    <w:rsid w:val="00bb166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Stilnaslova3">
    <w:name w:val="Heading 3"/>
    <w:basedOn w:val="Normal"/>
    <w:next w:val="Normal"/>
    <w:link w:val="Naslov3Char"/>
    <w:uiPriority w:val="9"/>
    <w:unhideWhenUsed/>
    <w:qFormat/>
    <w:rsid w:val="000d7ffc"/>
    <w:pPr>
      <w:keepNext w:val="true"/>
      <w:suppressAutoHyphens w:val="false"/>
      <w:spacing w:lineRule="auto" w:line="240" w:before="240" w:after="60"/>
      <w:outlineLvl w:val="2"/>
    </w:pPr>
    <w:rPr>
      <w:rFonts w:ascii="Calibri Light" w:hAnsi="Calibri Light" w:eastAsia="Times New Roman" w:cs="Times New Roman"/>
      <w:b/>
      <w:bCs/>
      <w:kern w:val="0"/>
      <w:sz w:val="26"/>
      <w:szCs w:val="26"/>
      <w:lang w:eastAsia="hr-HR"/>
      <w14:ligatures w14:val="none"/>
    </w:rPr>
  </w:style>
  <w:style w:type="paragraph" w:styleId="Stilnaslova4">
    <w:name w:val="Heading 4"/>
    <w:basedOn w:val="Normal"/>
    <w:next w:val="Normal"/>
    <w:link w:val="Naslov4Char"/>
    <w:uiPriority w:val="9"/>
    <w:unhideWhenUsed/>
    <w:qFormat/>
    <w:rsid w:val="001b1d93"/>
    <w:pPr>
      <w:keepNext w:val="true"/>
      <w:suppressAutoHyphens w:val="false"/>
      <w:spacing w:lineRule="auto" w:line="240" w:before="240" w:after="60"/>
      <w:outlineLvl w:val="3"/>
    </w:pPr>
    <w:rPr>
      <w:rFonts w:ascii="Calibri" w:hAnsi="Calibri" w:eastAsia="Times New Roman" w:cs="Times New Roman"/>
      <w:b/>
      <w:bCs/>
      <w:kern w:val="0"/>
      <w:sz w:val="28"/>
      <w:szCs w:val="28"/>
      <w:lang w:eastAsia="hr-H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d67e86"/>
    <w:rPr>
      <w:rFonts w:ascii="Calibri Light" w:hAnsi="Calibri Light" w:eastAsia="Times New Roman" w:cs="Times New Roman"/>
      <w:b/>
      <w:bCs/>
      <w:kern w:val="2"/>
      <w:sz w:val="32"/>
      <w:szCs w:val="32"/>
      <w:lang w:eastAsia="hr-HR"/>
      <w14:ligatures w14:val="none"/>
    </w:rPr>
  </w:style>
  <w:style w:type="character" w:styleId="Naslov3Char" w:customStyle="1">
    <w:name w:val="Naslov 3 Char"/>
    <w:basedOn w:val="DefaultParagraphFont"/>
    <w:uiPriority w:val="9"/>
    <w:qFormat/>
    <w:rsid w:val="000d7ffc"/>
    <w:rPr>
      <w:rFonts w:ascii="Calibri Light" w:hAnsi="Calibri Light" w:eastAsia="Times New Roman" w:cs="Times New Roman"/>
      <w:b/>
      <w:bCs/>
      <w:kern w:val="0"/>
      <w:sz w:val="26"/>
      <w:szCs w:val="26"/>
      <w:lang w:eastAsia="hr-HR"/>
      <w14:ligatures w14:val="none"/>
    </w:rPr>
  </w:style>
  <w:style w:type="character" w:styleId="Naslov2Char" w:customStyle="1">
    <w:name w:val="Naslov 2 Char"/>
    <w:basedOn w:val="DefaultParagraphFont"/>
    <w:uiPriority w:val="9"/>
    <w:qFormat/>
    <w:rsid w:val="00bb166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Naslov4Char" w:customStyle="1">
    <w:name w:val="Naslov 4 Char"/>
    <w:basedOn w:val="DefaultParagraphFont"/>
    <w:uiPriority w:val="9"/>
    <w:qFormat/>
    <w:rsid w:val="001b1d93"/>
    <w:rPr>
      <w:rFonts w:ascii="Calibri" w:hAnsi="Calibri" w:eastAsia="Times New Roman" w:cs="Times New Roman"/>
      <w:b/>
      <w:bCs/>
      <w:kern w:val="0"/>
      <w:sz w:val="28"/>
      <w:szCs w:val="28"/>
      <w:lang w:eastAsia="hr-HR"/>
      <w14:ligatures w14:val="non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qFormat/>
    <w:rsid w:val="00be5d16"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2"/>
      <w:szCs w:val="22"/>
      <w:lang w:val="hr-HR" w:eastAsia="en-US" w:bidi="ar-SA"/>
      <w14:ligatures w14:val="none"/>
    </w:rPr>
  </w:style>
  <w:style w:type="paragraph" w:styleId="Obinitekst1" w:customStyle="1">
    <w:name w:val="Obični tekst1"/>
    <w:basedOn w:val="Normal"/>
    <w:qFormat/>
    <w:rsid w:val="00d67e86"/>
    <w:pPr>
      <w:spacing w:lineRule="atLeast" w:line="100" w:before="0" w:after="0"/>
    </w:pPr>
    <w:rPr>
      <w:rFonts w:ascii="Consolas" w:hAnsi="Consolas" w:eastAsia="Times New Roman" w:cs="font316"/>
      <w:color w:val="00000A"/>
      <w:kern w:val="2"/>
      <w:sz w:val="21"/>
      <w:szCs w:val="21"/>
      <w14:ligatures w14:val="none"/>
    </w:rPr>
  </w:style>
  <w:style w:type="paragraph" w:styleId="Tijelotekstauvlaka21" w:customStyle="1">
    <w:name w:val="Tijelo teksta - uvlaka 21"/>
    <w:basedOn w:val="Normal"/>
    <w:qFormat/>
    <w:rsid w:val="000d7ffc"/>
    <w:pPr>
      <w:spacing w:lineRule="auto" w:line="480" w:before="0" w:after="120"/>
      <w:ind w:left="283" w:hanging="0"/>
      <w:jc w:val="both"/>
    </w:pPr>
    <w:rPr>
      <w:rFonts w:ascii="Times New Roman" w:hAnsi="Times New Roman" w:eastAsia="Times New Roman" w:cs="Times New Roman"/>
      <w:color w:val="00000A"/>
      <w:kern w:val="2"/>
      <w:szCs w:val="2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7615de"/>
    <w:pPr>
      <w:suppressAutoHyphens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1C4147D655324FA66B4355AB122039" ma:contentTypeVersion="2" ma:contentTypeDescription="Stvaranje novog dokumenta." ma:contentTypeScope="" ma:versionID="9dc6462e8cc12b353e4487ec57c11fb1">
  <xsd:schema xmlns:xsd="http://www.w3.org/2001/XMLSchema" xmlns:xs="http://www.w3.org/2001/XMLSchema" xmlns:p="http://schemas.microsoft.com/office/2006/metadata/properties" xmlns:ns3="879629b8-4486-408d-baf4-4406f8b4f33b" targetNamespace="http://schemas.microsoft.com/office/2006/metadata/properties" ma:root="true" ma:fieldsID="7179e4b3d3858ee25a25868c79b8db7a" ns3:_="">
    <xsd:import namespace="879629b8-4486-408d-baf4-4406f8b4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29b8-4486-408d-baf4-4406f8b4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371E-FBF7-4D0D-82D8-D634190F6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29b8-4486-408d-baf4-4406f8b4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AA110-38FE-415A-8C4D-7F577A860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FE781-455B-46F9-AB4E-0191A4901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6CBE0-6784-47BB-AAEE-9FF7E787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Application>LibreOffice/7.4.1.2$Windows_X86_64 LibreOffice_project/3c58a8f3a960df8bc8fd77b461821e42c061c5f0</Application>
  <AppVersion>15.0000</AppVersion>
  <Pages>7</Pages>
  <Words>1405</Words>
  <Characters>8669</Characters>
  <CharactersWithSpaces>9884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2023-09-08T05:34:00Z</dcterms:created>
  <dc:creator>Sandra Adžaga</dc:creator>
  <dc:description/>
  <dc:language>hr-HR</dc:language>
  <cp:lastModifiedBy/>
  <cp:lastPrinted>2023-09-08T07:41:00Z</cp:lastPrinted>
  <dcterms:modified xsi:type="dcterms:W3CDTF">2026-07-10T14:55:03Z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0x010100D11C4147D655324FA66B4355AB122039</vt:lpwstr>
  </property>
</Properties>
</file>