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jc w:val="center"/>
        <w:rPr>
          <w:rFonts w:ascii="Times New Roman" w:hAnsi="Times New Roman"/>
        </w:rPr>
      </w:pPr>
      <w:r>
        <w:rPr/>
        <w:drawing>
          <wp:inline distT="0" distB="0" distL="0" distR="0">
            <wp:extent cx="2255520" cy="2737485"/>
            <wp:effectExtent l="0" t="0" r="0" b="0"/>
            <wp:docPr id="1" name="Slik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
                    <pic:cNvPicPr>
                      <a:picLocks noChangeAspect="1" noChangeArrowheads="1"/>
                    </pic:cNvPicPr>
                  </pic:nvPicPr>
                  <pic:blipFill>
                    <a:blip r:embed="rId2"/>
                    <a:stretch>
                      <a:fillRect/>
                    </a:stretch>
                  </pic:blipFill>
                  <pic:spPr bwMode="auto">
                    <a:xfrm>
                      <a:off x="0" y="0"/>
                      <a:ext cx="2255520" cy="2737485"/>
                    </a:xfrm>
                    <a:prstGeom prst="rect">
                      <a:avLst/>
                    </a:prstGeom>
                  </pic:spPr>
                </pic:pic>
              </a:graphicData>
            </a:graphic>
          </wp:inline>
        </w:drawing>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right"/>
        <w:rPr>
          <w:rFonts w:ascii="Times New Roman" w:hAnsi="Times New Roman"/>
        </w:rPr>
      </w:pPr>
      <w:r>
        <w:rPr>
          <w:rFonts w:eastAsia="Times New Roman" w:cs="Times New Roman" w:ascii="Times New Roman" w:hAnsi="Times New Roman"/>
          <w:sz w:val="24"/>
          <w:szCs w:val="24"/>
          <w:lang w:eastAsia="hr-HR"/>
        </w:rPr>
        <w:t>ISSN: 2757-3435</w:t>
      </w:r>
    </w:p>
    <w:p>
      <w:pPr>
        <w:pStyle w:val="Normal"/>
        <w:bidi w:val="0"/>
        <w:spacing w:lineRule="auto" w:line="240"/>
        <w:jc w:val="right"/>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rPr>
      </w:pPr>
      <w:r>
        <w:rPr>
          <w:rFonts w:eastAsia="Times New Roman" w:cs="Times New Roman" w:ascii="Times New Roman" w:hAnsi="Times New Roman"/>
          <w:sz w:val="24"/>
          <w:szCs w:val="24"/>
          <w:lang w:eastAsia="hr-HR"/>
        </w:rPr>
        <w:t>SLUŽBENI GLASNIK</w:t>
      </w:r>
    </w:p>
    <w:p>
      <w:pPr>
        <w:pStyle w:val="Normal"/>
        <w:bidi w:val="0"/>
        <w:spacing w:lineRule="auto" w:line="240"/>
        <w:jc w:val="center"/>
        <w:rPr>
          <w:rFonts w:ascii="Times New Roman" w:hAnsi="Times New Roman"/>
        </w:rPr>
      </w:pPr>
      <w:r>
        <w:rPr>
          <w:rFonts w:eastAsia="Times New Roman" w:cs="Times New Roman" w:ascii="Times New Roman" w:hAnsi="Times New Roman"/>
          <w:sz w:val="24"/>
          <w:szCs w:val="24"/>
          <w:lang w:eastAsia="hr-HR"/>
        </w:rPr>
        <w:t>OPĆINE NEGOSLAVCI</w:t>
      </w:r>
    </w:p>
    <w:p>
      <w:pPr>
        <w:pStyle w:val="Normal"/>
        <w:bidi w:val="0"/>
        <w:spacing w:lineRule="auto" w:line="24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jc w:val="center"/>
        <w:rPr>
          <w:rFonts w:ascii="Times New Roman" w:hAnsi="Times New Roman"/>
        </w:rPr>
      </w:pPr>
      <w:r>
        <w:rPr>
          <w:rFonts w:eastAsia="Times New Roman" w:cs="Times New Roman" w:ascii="Times New Roman" w:hAnsi="Times New Roman"/>
          <w:sz w:val="24"/>
          <w:szCs w:val="24"/>
          <w:lang w:eastAsia="hr-HR"/>
        </w:rPr>
        <w:t>Broj 41. God. IV Negoslavci,</w:t>
      </w:r>
      <w:r>
        <w:rPr>
          <w:rFonts w:eastAsia="Times New Roman" w:cs="Times New Roman" w:ascii="Times New Roman" w:hAnsi="Times New Roman"/>
          <w:color w:val="000000"/>
          <w:sz w:val="24"/>
          <w:szCs w:val="24"/>
          <w:lang w:eastAsia="hr-HR"/>
        </w:rPr>
        <w:t xml:space="preserve"> 26.06.2</w:t>
      </w:r>
      <w:r>
        <w:rPr>
          <w:rFonts w:eastAsia="Times New Roman" w:cs="Times New Roman" w:ascii="Times New Roman" w:hAnsi="Times New Roman"/>
          <w:sz w:val="24"/>
          <w:szCs w:val="24"/>
          <w:lang w:eastAsia="hr-HR"/>
        </w:rPr>
        <w:t>026. godine</w:t>
      </w:r>
    </w:p>
    <w:p>
      <w:pPr>
        <w:pStyle w:val="Normal"/>
        <w:bidi w:val="0"/>
        <w:spacing w:lineRule="auto" w:line="240"/>
        <w:jc w:val="center"/>
        <w:rPr>
          <w:rFonts w:ascii="Times New Roman" w:hAnsi="Times New Roman"/>
        </w:rPr>
      </w:pPr>
      <w:r>
        <w:rPr>
          <w:rFonts w:eastAsia="Times New Roman" w:cs="Times New Roman" w:ascii="Times New Roman" w:hAnsi="Times New Roman"/>
          <w:sz w:val="24"/>
          <w:szCs w:val="24"/>
          <w:lang w:eastAsia="hr-HR"/>
        </w:rPr>
        <w:t>Izlazi prema potrebi</w:t>
      </w:r>
    </w:p>
    <w:p>
      <w:pPr>
        <w:pStyle w:val="Normal"/>
        <w:bidi w:val="0"/>
        <w:spacing w:lineRule="auto" w:line="240"/>
        <w:jc w:val="both"/>
        <w:rPr>
          <w:rFonts w:ascii="Times New Roman" w:hAnsi="Times New Roman"/>
          <w:sz w:val="24"/>
          <w:szCs w:val="24"/>
        </w:rPr>
      </w:pPr>
      <w:r>
        <w:rPr>
          <w:rFonts w:ascii="Times New Roman" w:hAnsi="Times New Roman"/>
          <w:sz w:val="24"/>
          <w:szCs w:val="24"/>
        </w:rPr>
      </w:r>
    </w:p>
    <w:p>
      <w:pPr>
        <w:pStyle w:val="Normal"/>
        <w:bidi w:val="0"/>
        <w:spacing w:lineRule="auto" w:line="240" w:beforeAutospacing="1" w:afterAutospacing="1"/>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b/>
          <w:bCs/>
          <w:sz w:val="24"/>
          <w:szCs w:val="24"/>
          <w:lang w:eastAsia="hr-HR"/>
        </w:rPr>
        <w:t>„</w:t>
      </w:r>
      <w:r>
        <w:rPr>
          <w:rFonts w:eastAsia="Times New Roman" w:cs="Times New Roman" w:ascii="Times New Roman" w:hAnsi="Times New Roman"/>
          <w:b/>
          <w:bCs/>
          <w:sz w:val="24"/>
          <w:szCs w:val="24"/>
          <w:lang w:eastAsia="hr-HR"/>
        </w:rPr>
        <w:t>SLUŽBENI GLASNIK OPĆINE NEGOSLAVCI“</w:t>
      </w:r>
    </w:p>
    <w:p>
      <w:pPr>
        <w:pStyle w:val="Normal"/>
        <w:bidi w:val="0"/>
        <w:spacing w:lineRule="auto" w:line="240" w:beforeAutospacing="1" w:afterAutospacing="1"/>
        <w:jc w:val="center"/>
        <w:rPr>
          <w:rFonts w:ascii="Times New Roman" w:hAnsi="Times New Roman" w:eastAsia="Times New Roman" w:cs="Times New Roman"/>
          <w:b/>
          <w:b/>
          <w:bCs/>
          <w:sz w:val="24"/>
          <w:szCs w:val="24"/>
          <w:lang w:eastAsia="hr-HR"/>
        </w:rPr>
      </w:pPr>
      <w:r>
        <w:rPr>
          <w:rFonts w:eastAsia="Times New Roman" w:cs="Times New Roman" w:ascii="Times New Roman" w:hAnsi="Times New Roman"/>
          <w:b/>
          <w:bCs/>
          <w:sz w:val="24"/>
          <w:szCs w:val="24"/>
          <w:lang w:eastAsia="hr-HR"/>
        </w:rPr>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b/>
          <w:bCs/>
          <w:sz w:val="24"/>
          <w:szCs w:val="24"/>
          <w:lang w:eastAsia="hr-HR"/>
        </w:rPr>
        <w:t>Nakladnik – Općina Negoslavci</w:t>
      </w:r>
    </w:p>
    <w:p>
      <w:pPr>
        <w:pStyle w:val="Normal"/>
        <w:bidi w:val="0"/>
        <w:spacing w:lineRule="auto" w:line="240" w:beforeAutospacing="1" w:afterAutospacing="1"/>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sz w:val="24"/>
          <w:szCs w:val="24"/>
          <w:lang w:eastAsia="hr-HR"/>
        </w:rPr>
        <w:t>Uredništvo:</w:t>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sz w:val="24"/>
          <w:szCs w:val="24"/>
          <w:lang w:eastAsia="hr-HR"/>
        </w:rPr>
        <w:t>Općinski načelnik: Dušan Jeckov – glavni i odgovorni urednik</w:t>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sz w:val="24"/>
          <w:szCs w:val="24"/>
          <w:lang w:eastAsia="hr-HR"/>
        </w:rPr>
        <w:t>Privremena Pročelnica Jedinstvenog upravnog odjela: Sanja Sredojević</w:t>
      </w:r>
    </w:p>
    <w:p>
      <w:pPr>
        <w:pStyle w:val="Normal"/>
        <w:bidi w:val="0"/>
        <w:spacing w:lineRule="auto" w:line="240" w:beforeAutospacing="1" w:afterAutospacing="1"/>
        <w:ind w:left="720" w:hanging="0"/>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sz w:val="24"/>
          <w:szCs w:val="24"/>
          <w:lang w:eastAsia="hr-HR"/>
        </w:rPr>
        <w:t>Negoslavci, Vukovarska 7, 32 239 Negoslavci, Republika Hrvatska</w:t>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sz w:val="24"/>
          <w:szCs w:val="24"/>
          <w:lang w:eastAsia="hr-HR"/>
        </w:rPr>
        <w:t>Telefon: 032/517-054</w:t>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sz w:val="24"/>
          <w:szCs w:val="24"/>
          <w:lang w:eastAsia="hr-HR"/>
        </w:rPr>
        <w:t>Fax: 032/517-054</w:t>
      </w:r>
    </w:p>
    <w:p>
      <w:pPr>
        <w:pStyle w:val="Normal"/>
        <w:bidi w:val="0"/>
        <w:spacing w:lineRule="auto" w:line="240" w:beforeAutospacing="1" w:afterAutospacing="1"/>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beforeAutospacing="1" w:afterAutospacing="1"/>
        <w:jc w:val="center"/>
        <w:rPr/>
      </w:pPr>
      <w:r>
        <w:rPr>
          <w:rFonts w:eastAsia="Times New Roman" w:cs="Times New Roman" w:ascii="Times New Roman" w:hAnsi="Times New Roman"/>
          <w:sz w:val="24"/>
          <w:szCs w:val="24"/>
          <w:lang w:eastAsia="hr-HR"/>
        </w:rPr>
        <w:t xml:space="preserve">e-mail: </w:t>
      </w:r>
      <w:hyperlink r:id="rId3">
        <w:r>
          <w:rPr>
            <w:rFonts w:eastAsia="Times New Roman" w:cs="Times New Roman" w:ascii="Times New Roman" w:hAnsi="Times New Roman"/>
            <w:color w:val="0000FF"/>
            <w:sz w:val="24"/>
            <w:szCs w:val="24"/>
            <w:u w:val="single"/>
            <w:lang w:eastAsia="hr-HR"/>
          </w:rPr>
          <w:t>opcina.negoslavci@gmail.com</w:t>
        </w:r>
      </w:hyperlink>
      <w:r>
        <w:rPr>
          <w:rFonts w:eastAsia="Times New Roman" w:cs="Times New Roman" w:ascii="Times New Roman" w:hAnsi="Times New Roman"/>
          <w:sz w:val="24"/>
          <w:szCs w:val="24"/>
          <w:lang w:eastAsia="hr-HR"/>
        </w:rPr>
        <w:t xml:space="preserve"> </w:t>
      </w:r>
    </w:p>
    <w:p>
      <w:pPr>
        <w:pStyle w:val="Normal"/>
        <w:bidi w:val="0"/>
        <w:spacing w:lineRule="auto" w:line="240" w:beforeAutospacing="1" w:afterAutospacing="1"/>
        <w:jc w:val="center"/>
        <w:rPr>
          <w:rFonts w:ascii="Times New Roman" w:hAnsi="Times New Roman" w:eastAsia="Times New Roman" w:cs="Times New Roman"/>
          <w:sz w:val="24"/>
          <w:szCs w:val="24"/>
          <w:lang w:eastAsia="hr-HR"/>
        </w:rPr>
      </w:pPr>
      <w:r>
        <w:rPr>
          <w:rFonts w:eastAsia="Times New Roman" w:cs="Times New Roman" w:ascii="Times New Roman" w:hAnsi="Times New Roman"/>
          <w:sz w:val="24"/>
          <w:szCs w:val="24"/>
          <w:lang w:eastAsia="hr-HR"/>
        </w:rPr>
      </w:r>
    </w:p>
    <w:p>
      <w:pPr>
        <w:pStyle w:val="Normal"/>
        <w:bidi w:val="0"/>
        <w:spacing w:lineRule="auto" w:line="240" w:beforeAutospacing="1" w:afterAutospacing="1"/>
        <w:jc w:val="center"/>
        <w:rPr>
          <w:rFonts w:ascii="Times New Roman" w:hAnsi="Times New Roman"/>
        </w:rPr>
      </w:pPr>
      <w:r>
        <w:rPr>
          <w:rFonts w:eastAsia="Times New Roman" w:cs="Times New Roman" w:ascii="Times New Roman" w:hAnsi="Times New Roman"/>
          <w:b/>
          <w:bCs/>
          <w:sz w:val="24"/>
          <w:szCs w:val="24"/>
          <w:lang w:eastAsia="hr-HR"/>
        </w:rPr>
        <w:t>Izlazi prema potrebi</w:t>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sz w:val="24"/>
          <w:szCs w:val="24"/>
        </w:rPr>
      </w:pPr>
      <w:r>
        <w:rPr>
          <w:rFonts w:ascii="Times New Roman" w:hAnsi="Times New Roman"/>
          <w:sz w:val="24"/>
          <w:szCs w:val="24"/>
        </w:rPr>
      </w:r>
    </w:p>
    <w:p>
      <w:pPr>
        <w:pStyle w:val="Normal"/>
        <w:bidi w:val="0"/>
        <w:spacing w:lineRule="auto" w:line="240"/>
        <w:jc w:val="center"/>
        <w:rPr>
          <w:rFonts w:ascii="Times New Roman" w:hAnsi="Times New Roman"/>
        </w:rPr>
      </w:pPr>
      <w:r>
        <w:rPr>
          <w:rFonts w:eastAsia="Times New Roman" w:cs="Times New Roman" w:ascii="Times New Roman" w:hAnsi="Times New Roman"/>
          <w:b/>
          <w:sz w:val="24"/>
          <w:szCs w:val="24"/>
          <w:lang w:eastAsia="hr-HR"/>
        </w:rPr>
        <w:t>KAZALO</w:t>
      </w:r>
    </w:p>
    <w:p>
      <w:pPr>
        <w:pStyle w:val="Normal"/>
        <w:bidi w:val="0"/>
        <w:spacing w:lineRule="auto" w:line="240"/>
        <w:jc w:val="center"/>
        <w:rPr>
          <w:rFonts w:ascii="Times New Roman" w:hAnsi="Times New Roman"/>
        </w:rPr>
      </w:pPr>
      <w:r>
        <w:rPr>
          <w:rFonts w:eastAsia="Times New Roman" w:cs="Times New Roman" w:ascii="Times New Roman" w:hAnsi="Times New Roman"/>
          <w:b/>
          <w:sz w:val="24"/>
          <w:szCs w:val="24"/>
          <w:lang w:eastAsia="hr-HR"/>
        </w:rPr>
        <w:t>AKTI OPĆINSKOG VIJEĆA</w:t>
      </w:r>
    </w:p>
    <w:p>
      <w:pPr>
        <w:pStyle w:val="Normal"/>
        <w:bidi w:val="0"/>
        <w:spacing w:lineRule="auto" w:line="240"/>
        <w:jc w:val="left"/>
        <w:rPr/>
      </w:pPr>
      <w:r>
        <w:rPr/>
        <w:t xml:space="preserve">Odluka o donošenju izmjena i dopuna Proračuna Općine Negoslavci za </w:t>
      </w:r>
    </w:p>
    <w:p>
      <w:pPr>
        <w:pStyle w:val="Normal"/>
        <w:bidi w:val="0"/>
        <w:spacing w:lineRule="auto" w:line="240"/>
        <w:jc w:val="left"/>
        <w:rPr/>
      </w:pPr>
      <w:r>
        <w:rPr/>
        <w:t>2026. godinu (prvi rebalans) ..............................................................................................................4</w:t>
      </w:r>
    </w:p>
    <w:p>
      <w:pPr>
        <w:pStyle w:val="Normal"/>
        <w:bidi w:val="0"/>
        <w:spacing w:lineRule="auto" w:line="240"/>
        <w:jc w:val="left"/>
        <w:rPr/>
      </w:pPr>
      <w:r>
        <w:rPr/>
        <w:t>Izmjene i dopune proračuna Općine Negoslavci za 2026. godinu (prvi rebalans) ............................5</w:t>
      </w:r>
    </w:p>
    <w:p>
      <w:pPr>
        <w:pStyle w:val="Normal"/>
        <w:bidi w:val="0"/>
        <w:spacing w:lineRule="auto" w:line="240"/>
        <w:jc w:val="left"/>
        <w:rPr/>
      </w:pPr>
      <w:r>
        <w:rPr/>
        <w:t>Obrazloženje izmjena i dopuna proračuna Općine Negoslavci za 2026. godinu .............................</w:t>
      </w:r>
      <w:r>
        <w:rPr/>
        <w:t>20</w:t>
      </w:r>
    </w:p>
    <w:p>
      <w:pPr>
        <w:pStyle w:val="Normal"/>
        <w:bidi w:val="0"/>
        <w:spacing w:lineRule="auto" w:line="240"/>
        <w:jc w:val="left"/>
        <w:rPr/>
      </w:pPr>
      <w:r>
        <w:rPr/>
        <w:t xml:space="preserve">Izmjene i dopune Programa javnih potreba u sportu na području </w:t>
      </w:r>
    </w:p>
    <w:p>
      <w:pPr>
        <w:pStyle w:val="Normal"/>
        <w:bidi w:val="0"/>
        <w:spacing w:lineRule="auto" w:line="240"/>
        <w:jc w:val="left"/>
        <w:rPr/>
      </w:pPr>
      <w:r>
        <w:rPr/>
        <w:t>Općine Negoslavci za 2026. godinu .................................................................................................26</w:t>
      </w:r>
    </w:p>
    <w:p>
      <w:pPr>
        <w:pStyle w:val="Normal"/>
        <w:bidi w:val="0"/>
        <w:spacing w:lineRule="auto" w:line="240"/>
        <w:jc w:val="left"/>
        <w:rPr/>
      </w:pPr>
      <w:r>
        <w:rPr/>
        <w:t>Izmjene i dopune Programa održavanja komunalne infrastrukture za 2026. godinu ........................27</w:t>
      </w:r>
    </w:p>
    <w:p>
      <w:pPr>
        <w:pStyle w:val="Normal"/>
        <w:bidi w:val="0"/>
        <w:spacing w:lineRule="auto" w:line="240"/>
        <w:jc w:val="left"/>
        <w:rPr/>
      </w:pPr>
      <w:r>
        <w:rPr/>
        <w:t>Izmjene i dopune Programa javnih potreba u obrazovanju</w:t>
      </w:r>
    </w:p>
    <w:p>
      <w:pPr>
        <w:pStyle w:val="Normal"/>
        <w:bidi w:val="0"/>
        <w:spacing w:lineRule="auto" w:line="240"/>
        <w:jc w:val="left"/>
        <w:rPr/>
      </w:pPr>
      <w:r>
        <w:rPr/>
        <w:t>Općine Negoslavci za 2026. godinu .................................................................................................30</w:t>
      </w:r>
    </w:p>
    <w:p>
      <w:pPr>
        <w:pStyle w:val="Normal"/>
        <w:bidi w:val="0"/>
        <w:spacing w:lineRule="auto" w:line="240"/>
        <w:jc w:val="left"/>
        <w:rPr/>
      </w:pPr>
      <w:r>
        <w:rPr/>
        <w:t xml:space="preserve">Izmjene i dopune Programa protupožarne i civilne zaštite za 2026. godinu ....................................31 </w:t>
      </w:r>
    </w:p>
    <w:p>
      <w:pPr>
        <w:pStyle w:val="Normal"/>
        <w:bidi w:val="0"/>
        <w:spacing w:lineRule="auto" w:line="240"/>
        <w:jc w:val="left"/>
        <w:rPr/>
      </w:pPr>
      <w:r>
        <w:rPr/>
        <w:t>Odluka</w:t>
      </w:r>
      <w:r>
        <w:rPr>
          <w:b w:val="false"/>
          <w:bCs w:val="false"/>
        </w:rPr>
        <w:t xml:space="preserve"> </w:t>
      </w:r>
      <w:bookmarkStart w:id="0" w:name="_Toc710104241"/>
      <w:r>
        <w:rPr>
          <w:rFonts w:ascii="Times New Roman" w:hAnsi="Times New Roman"/>
          <w:b w:val="false"/>
          <w:bCs w:val="false"/>
          <w:sz w:val="24"/>
          <w:szCs w:val="24"/>
        </w:rPr>
        <w:t>o raspodjeli rezultata poslovanja 2025. godine</w:t>
      </w:r>
      <w:bookmarkEnd w:id="0"/>
      <w:r>
        <w:rPr>
          <w:rFonts w:ascii="Times New Roman" w:hAnsi="Times New Roman"/>
          <w:b w:val="false"/>
          <w:bCs w:val="false"/>
          <w:sz w:val="24"/>
          <w:szCs w:val="24"/>
        </w:rPr>
        <w:t xml:space="preserve"> ....................................................................</w:t>
      </w:r>
      <w:r>
        <w:rPr>
          <w:rFonts w:ascii="Times New Roman" w:hAnsi="Times New Roman"/>
          <w:b w:val="false"/>
          <w:bCs w:val="false"/>
          <w:sz w:val="24"/>
          <w:szCs w:val="24"/>
        </w:rPr>
        <w:t>32</w:t>
      </w:r>
    </w:p>
    <w:p>
      <w:pPr>
        <w:pStyle w:val="Normal"/>
        <w:keepNext w:val="true"/>
        <w:jc w:val="left"/>
        <w:rPr>
          <w:b w:val="false"/>
          <w:b w:val="false"/>
          <w:bCs w:val="false"/>
        </w:rPr>
      </w:pPr>
      <w:r>
        <w:rPr>
          <w:rFonts w:cs="Times New Roman" w:ascii="Times New Roman" w:hAnsi="Times New Roman"/>
          <w:b w:val="false"/>
          <w:bCs w:val="false"/>
          <w:sz w:val="24"/>
          <w:szCs w:val="24"/>
          <w:lang w:val="hr-HR"/>
        </w:rPr>
        <w:t>Pravilnik o provedbi postupaka jednostavne nabave ........................................................................</w:t>
      </w:r>
      <w:r>
        <w:rPr>
          <w:rFonts w:cs="Times New Roman" w:ascii="Times New Roman" w:hAnsi="Times New Roman"/>
          <w:b w:val="false"/>
          <w:bCs w:val="false"/>
          <w:sz w:val="24"/>
          <w:szCs w:val="24"/>
          <w:lang w:val="hr-HR"/>
        </w:rPr>
        <w:t>34</w:t>
      </w:r>
    </w:p>
    <w:p>
      <w:pPr>
        <w:pStyle w:val="Normal"/>
        <w:bidi w:val="0"/>
        <w:spacing w:lineRule="auto" w:line="240"/>
        <w:jc w:val="left"/>
        <w:rPr/>
      </w:pPr>
      <w:r>
        <w:rPr>
          <w:rFonts w:ascii="Times New Roman" w:hAnsi="Times New Roman"/>
          <w:b w:val="false"/>
          <w:bCs w:val="false"/>
          <w:sz w:val="24"/>
          <w:szCs w:val="24"/>
        </w:rPr>
        <w:t>Odluka o mjerama zaštite od požara za vrijeme žetve i vršidbe .......................................................</w:t>
      </w:r>
      <w:r>
        <w:rPr>
          <w:rFonts w:ascii="Times New Roman" w:hAnsi="Times New Roman"/>
          <w:b w:val="false"/>
          <w:bCs w:val="false"/>
          <w:sz w:val="24"/>
          <w:szCs w:val="24"/>
        </w:rPr>
        <w:t>40</w:t>
      </w:r>
    </w:p>
    <w:p>
      <w:pPr>
        <w:pStyle w:val="Normal"/>
        <w:bidi w:val="0"/>
        <w:spacing w:lineRule="auto" w:line="240"/>
        <w:jc w:val="left"/>
        <w:rPr/>
      </w:pPr>
      <w:r>
        <w:rPr>
          <w:rFonts w:ascii="Times New Roman" w:hAnsi="Times New Roman"/>
          <w:b w:val="false"/>
          <w:bCs w:val="false"/>
          <w:sz w:val="24"/>
          <w:szCs w:val="24"/>
        </w:rPr>
        <w:t xml:space="preserve">Zaključak o donošenju protupožarnih akata za područje </w:t>
      </w:r>
    </w:p>
    <w:p>
      <w:pPr>
        <w:pStyle w:val="Normal"/>
        <w:bidi w:val="0"/>
        <w:spacing w:lineRule="auto" w:line="240"/>
        <w:jc w:val="left"/>
        <w:rPr/>
      </w:pPr>
      <w:r>
        <w:rPr>
          <w:rFonts w:ascii="Times New Roman" w:hAnsi="Times New Roman"/>
          <w:b w:val="false"/>
          <w:bCs w:val="false"/>
          <w:sz w:val="24"/>
          <w:szCs w:val="24"/>
        </w:rPr>
        <w:t xml:space="preserve">Općine Negoslavci u 2026. godini </w:t>
      </w:r>
      <w:r>
        <w:rPr>
          <w:rFonts w:ascii="Times New Roman" w:hAnsi="Times New Roman"/>
          <w:b w:val="false"/>
          <w:bCs w:val="false"/>
          <w:sz w:val="24"/>
          <w:szCs w:val="24"/>
        </w:rPr>
        <w:t>....................................................................................................</w:t>
      </w:r>
      <w:r>
        <w:rPr>
          <w:rFonts w:ascii="Times New Roman" w:hAnsi="Times New Roman"/>
          <w:b w:val="false"/>
          <w:bCs w:val="false"/>
          <w:sz w:val="24"/>
          <w:szCs w:val="24"/>
        </w:rPr>
        <w:t>43</w:t>
      </w:r>
    </w:p>
    <w:p>
      <w:pPr>
        <w:pStyle w:val="Normal"/>
        <w:bidi w:val="0"/>
        <w:spacing w:lineRule="auto" w:line="240"/>
        <w:jc w:val="center"/>
        <w:rPr>
          <w:rFonts w:ascii="Times New Roman" w:hAnsi="Times New Roman"/>
        </w:rPr>
      </w:pPr>
      <w:r>
        <w:rPr>
          <w:rFonts w:ascii="Times New Roman" w:hAnsi="Times New Roman"/>
        </w:rPr>
      </w:r>
    </w:p>
    <w:p>
      <w:pPr>
        <w:pStyle w:val="Normal"/>
        <w:jc w:val="center"/>
        <w:rPr>
          <w:b/>
          <w:b/>
          <w:bCs/>
        </w:rPr>
      </w:pPr>
      <w:r>
        <w:rPr>
          <w:b/>
          <w:bCs/>
        </w:rPr>
        <w:t>AKTI OPĆINSKOG NAČELNIKA</w:t>
      </w:r>
    </w:p>
    <w:p>
      <w:pPr>
        <w:pStyle w:val="Normal"/>
        <w:keepNext w:val="true"/>
        <w:jc w:val="left"/>
        <w:rPr>
          <w:b w:val="false"/>
          <w:b w:val="false"/>
          <w:bCs w:val="false"/>
        </w:rPr>
      </w:pPr>
      <w:r>
        <w:rPr>
          <w:rFonts w:cs="Times New Roman" w:ascii="Times New Roman" w:hAnsi="Times New Roman"/>
          <w:b w:val="false"/>
          <w:bCs w:val="false"/>
          <w:sz w:val="24"/>
          <w:szCs w:val="24"/>
          <w:lang w:val="hr-HR"/>
        </w:rPr>
        <w:t>Odluka o visini osnovice za obračun plaće lokalnih službenika i namještenika</w:t>
      </w:r>
    </w:p>
    <w:p>
      <w:pPr>
        <w:pStyle w:val="Normal"/>
        <w:jc w:val="left"/>
        <w:rPr>
          <w:b w:val="false"/>
          <w:b w:val="false"/>
          <w:bCs w:val="false"/>
        </w:rPr>
      </w:pPr>
      <w:r>
        <w:rPr>
          <w:rFonts w:cs="Times New Roman" w:ascii="Times New Roman" w:hAnsi="Times New Roman"/>
          <w:b w:val="false"/>
          <w:bCs w:val="false"/>
          <w:sz w:val="24"/>
          <w:szCs w:val="24"/>
          <w:lang w:val="hr-HR"/>
        </w:rPr>
        <w:t>u Općini Negoslavci .........................................................................................................................44</w:t>
      </w:r>
    </w:p>
    <w:p>
      <w:pPr>
        <w:pStyle w:val="Normal"/>
        <w:jc w:val="left"/>
        <w:rPr>
          <w:b w:val="false"/>
          <w:b w:val="false"/>
          <w:bCs w:val="false"/>
        </w:rPr>
      </w:pPr>
      <w:r>
        <w:rPr>
          <w:b w:val="false"/>
          <w:bCs w:val="false"/>
        </w:rPr>
      </w:r>
    </w:p>
    <w:p>
      <w:pPr>
        <w:pStyle w:val="Normal"/>
        <w:rPr/>
      </w:pPr>
      <w:r>
        <w:rPr/>
      </w:r>
    </w:p>
    <w:p>
      <w:pPr>
        <w:pStyle w:val="Normal"/>
        <w:rPr/>
      </w:pPr>
      <w:r>
        <w:rPr/>
      </w:r>
    </w:p>
    <w:p>
      <w:pPr>
        <w:pStyle w:val="Normal"/>
        <w:rPr/>
      </w:pPr>
      <w:r>
        <w:rPr/>
      </w:r>
    </w:p>
    <w:p>
      <w:pPr>
        <w:pStyle w:val="Normal"/>
        <w:jc w:val="center"/>
        <w:rPr/>
      </w:pPr>
      <w:r>
        <w:rPr/>
      </w:r>
    </w:p>
    <w:p>
      <w:pPr>
        <w:pStyle w:val="Normal"/>
        <w:bidi w:val="0"/>
        <w:jc w:val="center"/>
        <w:rPr>
          <w:b/>
          <w:b/>
          <w:bCs/>
        </w:rPr>
      </w:pPr>
      <w:r>
        <w:rPr>
          <w:b/>
          <w:bCs/>
        </w:rPr>
      </w:r>
    </w:p>
    <w:p>
      <w:pPr>
        <w:pStyle w:val="Normal"/>
        <w:bidi w:val="0"/>
        <w:jc w:val="left"/>
        <w:rPr>
          <w:rFonts w:ascii="Times New Roman" w:hAnsi="Times New Roman"/>
          <w:color w:val="000000"/>
        </w:rPr>
      </w:pPr>
      <w:r>
        <w:rPr>
          <w:rFonts w:ascii="Times New Roman" w:hAnsi="Times New Roman"/>
          <w:color w:val="000000"/>
        </w:rPr>
      </w:r>
    </w:p>
    <w:p>
      <w:pPr>
        <w:pStyle w:val="Normal"/>
        <w:bidi w:val="0"/>
        <w:jc w:val="left"/>
        <w:rPr>
          <w:rFonts w:ascii="Times New Roman" w:hAnsi="Times New Roman"/>
        </w:rPr>
      </w:pPr>
      <w:r>
        <w:rPr>
          <w:rFonts w:ascii="Times New Roman" w:hAnsi="Times New Roman"/>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lang w:val="hr-HR"/>
        </w:rPr>
      </w:pPr>
      <w:r>
        <w:rPr>
          <w:rFonts w:ascii="Times New Roman" w:hAnsi="Times New Roman"/>
          <w:lang w:val="hr-HR"/>
        </w:rPr>
      </w:r>
    </w:p>
    <w:p>
      <w:pPr>
        <w:pStyle w:val="Normal"/>
        <w:bidi w:val="0"/>
        <w:jc w:val="both"/>
        <w:rPr>
          <w:rFonts w:ascii="Times New Roman" w:hAnsi="Times New Roman"/>
        </w:rPr>
      </w:pPr>
      <w:r>
        <w:rPr>
          <w:rFonts w:ascii="Times New Roman" w:hAnsi="Times New Roman"/>
          <w:b/>
          <w:bCs/>
          <w:u w:val="single"/>
        </w:rPr>
        <w:t>AKTI OPĆINSKOG VIJEĆA</w:t>
      </w:r>
    </w:p>
    <w:p>
      <w:pPr>
        <w:pStyle w:val="Normal"/>
        <w:bidi w:val="0"/>
        <w:jc w:val="both"/>
        <w:rPr>
          <w:rFonts w:ascii="Times New Roman" w:hAnsi="Times New Roman"/>
        </w:rPr>
      </w:pPr>
      <w:r>
        <w:rPr>
          <w:rFonts w:ascii="Times New Roman" w:hAnsi="Times New Roman"/>
        </w:rPr>
      </w:r>
    </w:p>
    <w:p>
      <w:pPr>
        <w:pStyle w:val="Normal"/>
        <w:bidi w:val="0"/>
        <w:jc w:val="both"/>
        <w:rPr>
          <w:lang w:val="hr-HR"/>
        </w:rPr>
      </w:pPr>
      <w:r>
        <w:rPr/>
        <w:tab/>
      </w:r>
      <w:r>
        <w:rPr>
          <w:lang w:val="hr-HR"/>
        </w:rPr>
        <w:t>Na temelju članka 45. Zakona o proračunu („Narodne novine“ broj 144/21) i članka 19., točke 2. i 8. Statuta Općine Negoslavci („Službeni glasnik Općine Negoslavci” broj 04/25), Općinsko vijeće Općine Negoslavci na svojoj redovnoj sjednici održanoj dana 25.06.2026. godine donosi</w:t>
      </w:r>
    </w:p>
    <w:p>
      <w:pPr>
        <w:pStyle w:val="Normal"/>
        <w:bidi w:val="0"/>
        <w:jc w:val="left"/>
        <w:rPr/>
      </w:pPr>
      <w:r>
        <w:rPr/>
      </w:r>
    </w:p>
    <w:p>
      <w:pPr>
        <w:pStyle w:val="Normal"/>
        <w:bidi w:val="0"/>
        <w:jc w:val="center"/>
        <w:rPr>
          <w:b/>
          <w:b/>
        </w:rPr>
      </w:pPr>
      <w:r>
        <w:rPr>
          <w:b/>
        </w:rPr>
        <w:t>ODLUKU O DONOŠENJU</w:t>
      </w:r>
    </w:p>
    <w:p>
      <w:pPr>
        <w:pStyle w:val="Normal"/>
        <w:bidi w:val="0"/>
        <w:jc w:val="center"/>
        <w:rPr>
          <w:b/>
          <w:b/>
        </w:rPr>
      </w:pPr>
      <w:r>
        <w:rPr>
          <w:b/>
        </w:rPr>
        <w:t xml:space="preserve">IZMJENA I DOPUNA PRORAČUNA OPĆINE NEGOSLAVCI ZA 2026. GODINU </w:t>
      </w:r>
    </w:p>
    <w:p>
      <w:pPr>
        <w:pStyle w:val="Normal"/>
        <w:bidi w:val="0"/>
        <w:jc w:val="center"/>
        <w:rPr>
          <w:b/>
          <w:b/>
        </w:rPr>
      </w:pPr>
      <w:r>
        <w:rPr>
          <w:b/>
        </w:rPr>
        <w:t>(PRVI REBALANS)</w:t>
      </w:r>
    </w:p>
    <w:p>
      <w:pPr>
        <w:pStyle w:val="Normal"/>
        <w:bidi w:val="0"/>
        <w:jc w:val="center"/>
        <w:rPr>
          <w:b/>
          <w:b/>
        </w:rPr>
      </w:pPr>
      <w:r>
        <w:rPr>
          <w:b/>
        </w:rPr>
      </w:r>
    </w:p>
    <w:p>
      <w:pPr>
        <w:pStyle w:val="Normal"/>
        <w:bidi w:val="0"/>
        <w:jc w:val="center"/>
        <w:rPr>
          <w:b/>
          <w:b/>
        </w:rPr>
      </w:pPr>
      <w:r>
        <w:rPr>
          <w:b/>
        </w:rPr>
        <w:t>Članak 1.</w:t>
      </w:r>
    </w:p>
    <w:p>
      <w:pPr>
        <w:pStyle w:val="Normal"/>
        <w:bidi w:val="0"/>
        <w:jc w:val="both"/>
        <w:rPr/>
      </w:pPr>
      <w:r>
        <w:rPr>
          <w:b/>
        </w:rPr>
        <w:tab/>
      </w:r>
      <w:r>
        <w:rPr/>
        <w:t xml:space="preserve">Donose se Izmjene i dopune </w:t>
      </w:r>
      <w:bookmarkStart w:id="1" w:name="_GoBack"/>
      <w:bookmarkEnd w:id="1"/>
      <w:r>
        <w:rPr/>
        <w:t>proračuna Općine Negoslavci za 2026. godinu (prvi rebalans).</w:t>
      </w:r>
    </w:p>
    <w:p>
      <w:pPr>
        <w:pStyle w:val="Normal"/>
        <w:bidi w:val="0"/>
        <w:jc w:val="both"/>
        <w:rPr/>
      </w:pPr>
      <w:r>
        <w:rPr/>
      </w:r>
    </w:p>
    <w:p>
      <w:pPr>
        <w:pStyle w:val="Normal"/>
        <w:bidi w:val="0"/>
        <w:jc w:val="center"/>
        <w:rPr>
          <w:b/>
          <w:b/>
        </w:rPr>
      </w:pPr>
      <w:r>
        <w:rPr>
          <w:b/>
        </w:rPr>
        <w:t>Članak 2.</w:t>
      </w:r>
    </w:p>
    <w:p>
      <w:pPr>
        <w:pStyle w:val="Normal"/>
        <w:bidi w:val="0"/>
        <w:jc w:val="both"/>
        <w:rPr/>
      </w:pPr>
      <w:r>
        <w:rPr>
          <w:b/>
        </w:rPr>
        <w:tab/>
      </w:r>
      <w:r>
        <w:rPr/>
        <w:t>Rebalans proračuna Općine Negoslavci za 2026. godinu sadrži:</w:t>
      </w:r>
    </w:p>
    <w:p>
      <w:pPr>
        <w:pStyle w:val="ListParagraph"/>
        <w:numPr>
          <w:ilvl w:val="0"/>
          <w:numId w:val="5"/>
        </w:numPr>
        <w:bidi w:val="0"/>
        <w:jc w:val="both"/>
        <w:rPr/>
      </w:pPr>
      <w:r>
        <w:rPr/>
        <w:t>- plan za 2026. godinu,</w:t>
      </w:r>
    </w:p>
    <w:p>
      <w:pPr>
        <w:pStyle w:val="ListParagraph"/>
        <w:numPr>
          <w:ilvl w:val="0"/>
          <w:numId w:val="5"/>
        </w:numPr>
        <w:bidi w:val="0"/>
        <w:jc w:val="both"/>
        <w:rPr/>
      </w:pPr>
      <w:r>
        <w:rPr/>
        <w:t>- promjene – odstupanja,</w:t>
      </w:r>
    </w:p>
    <w:p>
      <w:pPr>
        <w:pStyle w:val="ListParagraph"/>
        <w:numPr>
          <w:ilvl w:val="0"/>
          <w:numId w:val="5"/>
        </w:numPr>
        <w:bidi w:val="0"/>
        <w:jc w:val="both"/>
        <w:rPr/>
      </w:pPr>
      <w:r>
        <w:rPr/>
        <w:t>- novi plan.</w:t>
      </w:r>
    </w:p>
    <w:p>
      <w:pPr>
        <w:pStyle w:val="Normal"/>
        <w:bidi w:val="0"/>
        <w:jc w:val="both"/>
        <w:rPr/>
      </w:pPr>
      <w:r>
        <w:rPr/>
      </w:r>
    </w:p>
    <w:p>
      <w:pPr>
        <w:pStyle w:val="Normal"/>
        <w:bidi w:val="0"/>
        <w:jc w:val="center"/>
        <w:rPr>
          <w:b/>
          <w:b/>
        </w:rPr>
      </w:pPr>
      <w:r>
        <w:rPr>
          <w:b/>
        </w:rPr>
        <w:t>Članak 3.</w:t>
      </w:r>
    </w:p>
    <w:p>
      <w:pPr>
        <w:pStyle w:val="Normal"/>
        <w:bidi w:val="0"/>
        <w:jc w:val="both"/>
        <w:rPr/>
      </w:pPr>
      <w:r>
        <w:rPr>
          <w:b/>
        </w:rPr>
        <w:tab/>
      </w:r>
      <w:r>
        <w:rPr/>
        <w:t>Rebalans Proračuna prilaže se.</w:t>
      </w:r>
    </w:p>
    <w:p>
      <w:pPr>
        <w:pStyle w:val="Normal"/>
        <w:bidi w:val="0"/>
        <w:jc w:val="both"/>
        <w:rPr/>
      </w:pPr>
      <w:r>
        <w:rPr/>
        <w:t>Ova Odluka stupa na snagu dan nakon dana objave u Službenom glasniku Općine Negoslavci.</w:t>
      </w:r>
    </w:p>
    <w:p>
      <w:pPr>
        <w:pStyle w:val="Normal"/>
        <w:bidi w:val="0"/>
        <w:jc w:val="left"/>
        <w:rPr/>
      </w:pPr>
      <w:r>
        <w:rPr/>
      </w:r>
    </w:p>
    <w:p>
      <w:pPr>
        <w:pStyle w:val="Normal"/>
        <w:bidi w:val="0"/>
        <w:jc w:val="both"/>
        <w:rPr>
          <w:lang w:val="hr-HR"/>
        </w:rPr>
      </w:pPr>
      <w:r>
        <w:rPr>
          <w:b/>
          <w:bCs/>
        </w:rPr>
        <w:t>KL</w:t>
      </w:r>
      <w:r>
        <w:rPr>
          <w:b/>
          <w:bCs/>
          <w:color w:val="000000"/>
        </w:rPr>
        <w:t>ASA:</w:t>
      </w:r>
      <w:r>
        <w:rPr>
          <w:b w:val="false"/>
          <w:bCs w:val="false"/>
          <w:color w:val="000000"/>
        </w:rPr>
        <w:t xml:space="preserve"> </w:t>
      </w:r>
      <w:r>
        <w:rPr>
          <w:b w:val="false"/>
          <w:bCs w:val="false"/>
          <w:color w:val="000000"/>
          <w:lang w:val="hr-HR"/>
        </w:rPr>
        <w:t>400-01/24-01/01</w:t>
      </w:r>
    </w:p>
    <w:p>
      <w:pPr>
        <w:pStyle w:val="Normal"/>
        <w:bidi w:val="0"/>
        <w:jc w:val="both"/>
        <w:rPr>
          <w:color w:val="000000"/>
        </w:rPr>
      </w:pPr>
      <w:r>
        <w:rPr>
          <w:b/>
          <w:bCs/>
          <w:color w:val="000000"/>
        </w:rPr>
        <w:t xml:space="preserve">URBROJ: </w:t>
      </w:r>
      <w:r>
        <w:rPr>
          <w:b w:val="false"/>
          <w:bCs w:val="false"/>
          <w:color w:val="000000"/>
          <w:lang w:val="hr-HR"/>
        </w:rPr>
        <w:t>2196-19-02-26-05</w:t>
      </w:r>
    </w:p>
    <w:p>
      <w:pPr>
        <w:pStyle w:val="Normal"/>
        <w:bidi w:val="0"/>
        <w:jc w:val="both"/>
        <w:rPr>
          <w:lang w:val="hr-HR"/>
        </w:rPr>
      </w:pPr>
      <w:r>
        <w:rPr>
          <w:b/>
          <w:bCs/>
        </w:rPr>
        <w:t xml:space="preserve">Negoslavci, </w:t>
      </w:r>
      <w:r>
        <w:rPr>
          <w:b w:val="false"/>
          <w:bCs w:val="false"/>
        </w:rPr>
        <w:t>25. lipnja 2026.</w:t>
      </w:r>
    </w:p>
    <w:p>
      <w:pPr>
        <w:pStyle w:val="Normal"/>
        <w:bidi w:val="0"/>
        <w:jc w:val="left"/>
        <w:rPr/>
      </w:pPr>
      <w:r>
        <w:rPr/>
      </w:r>
    </w:p>
    <w:p>
      <w:pPr>
        <w:pStyle w:val="Normal"/>
        <w:bidi w:val="0"/>
        <w:jc w:val="center"/>
        <w:rPr/>
      </w:pPr>
      <w:r>
        <w:rPr>
          <w:b/>
        </w:rPr>
        <w:t>PREDSJEDNIK OPĆINSKOG VIJEĆA</w:t>
      </w:r>
    </w:p>
    <w:p>
      <w:pPr>
        <w:pStyle w:val="Normal"/>
        <w:bidi w:val="0"/>
        <w:jc w:val="center"/>
        <w:rPr/>
      </w:pPr>
      <w:r>
        <w:rPr>
          <w:rFonts w:ascii="Times New Roman" w:hAnsi="Times New Roman"/>
          <w:sz w:val="24"/>
          <w:szCs w:val="24"/>
          <w:lang w:val="hr-HR"/>
        </w:rPr>
        <w:t>Miodrag Mišanović</w:t>
      </w:r>
    </w:p>
    <w:p>
      <w:pPr>
        <w:pStyle w:val="Normal"/>
        <w:jc w:val="center"/>
        <w:rPr/>
      </w:pPr>
      <w:r>
        <w:rPr/>
        <w:drawing>
          <wp:inline distT="0" distB="0" distL="0" distR="0">
            <wp:extent cx="5761355" cy="36830"/>
            <wp:effectExtent l="0" t="0" r="0" b="0"/>
            <wp:docPr id="2" name="Slik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1" descr=""/>
                    <pic:cNvPicPr>
                      <a:picLocks noChangeAspect="1" noChangeArrowheads="1"/>
                    </pic:cNvPicPr>
                  </pic:nvPicPr>
                  <pic:blipFill>
                    <a:blip r:embed="rId4"/>
                    <a:stretch>
                      <a:fillRect/>
                    </a:stretch>
                  </pic:blipFill>
                  <pic:spPr bwMode="auto">
                    <a:xfrm>
                      <a:off x="0" y="0"/>
                      <a:ext cx="5761355" cy="36830"/>
                    </a:xfrm>
                    <a:prstGeom prst="rect">
                      <a:avLst/>
                    </a:prstGeom>
                  </pic:spPr>
                </pic:pic>
              </a:graphicData>
            </a:graphic>
          </wp:inline>
        </w:drawing>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sectPr>
          <w:headerReference w:type="even" r:id="rId5"/>
          <w:headerReference w:type="default" r:id="rId6"/>
          <w:type w:val="nextPage"/>
          <w:pgSz w:w="11906" w:h="16838"/>
          <w:pgMar w:left="1134" w:right="1134" w:gutter="0" w:header="1134" w:top="1693" w:footer="0" w:bottom="1134"/>
          <w:pgNumType w:fmt="decimal"/>
          <w:formProt w:val="false"/>
          <w:textDirection w:val="lrTb"/>
          <w:docGrid w:type="default" w:linePitch="100" w:charSpace="0"/>
        </w:sectPr>
        <w:pStyle w:val="Normal"/>
        <w:jc w:val="both"/>
        <w:rPr>
          <w:rFonts w:ascii="Times New Roman" w:hAnsi="Times New Roman"/>
        </w:rPr>
      </w:pPr>
      <w:r>
        <w:rPr>
          <w:rFonts w:ascii="Times New Roman" w:hAnsi="Times New Roman"/>
        </w:rPr>
      </w:r>
    </w:p>
    <w:p>
      <w:pPr>
        <w:pStyle w:val="Normal"/>
        <w:jc w:val="center"/>
        <w:rPr>
          <w:rFonts w:ascii="Times New Roman" w:hAnsi="Times New Roman"/>
          <w:b/>
          <w:b/>
          <w:bCs/>
        </w:rPr>
      </w:pPr>
      <w:r>
        <w:rPr>
          <w:rFonts w:ascii="Times New Roman" w:hAnsi="Times New Roman"/>
          <w:b/>
          <w:bCs/>
        </w:rPr>
        <w:t xml:space="preserve"> </w:t>
      </w:r>
      <w:r>
        <w:rPr>
          <w:rFonts w:ascii="Times New Roman" w:hAnsi="Times New Roman"/>
          <w:b/>
          <w:bCs/>
        </w:rPr>
        <w:t>IZMJENE I DOPUNE FINANCIJSKOG PLANA OPĆINA NEGOSLAVCI ZA 2026. GODINU</w:t>
      </w:r>
    </w:p>
    <w:p>
      <w:pPr>
        <w:pStyle w:val="Normal"/>
        <w:jc w:val="both"/>
        <w:rPr>
          <w:rFonts w:ascii="Times New Roman" w:hAnsi="Times New Roman"/>
        </w:rPr>
      </w:pPr>
      <w:r>
        <w:rPr>
          <w:rFonts w:ascii="Times New Roman" w:hAnsi="Times New Roman"/>
        </w:rPr>
      </w:r>
    </w:p>
    <w:p>
      <w:pPr>
        <w:pStyle w:val="Normal"/>
        <w:jc w:val="center"/>
        <w:rPr>
          <w:rFonts w:ascii="Times New Roman" w:hAnsi="Times New Roman"/>
          <w:b/>
          <w:b/>
          <w:bCs/>
        </w:rPr>
      </w:pPr>
      <w:r>
        <w:rPr>
          <w:rFonts w:ascii="Times New Roman" w:hAnsi="Times New Roman"/>
          <w:b/>
          <w:bCs/>
        </w:rPr>
        <w:t>I. OPĆI DIO</w:t>
      </w:r>
    </w:p>
    <w:p>
      <w:pPr>
        <w:pStyle w:val="Normal"/>
        <w:jc w:val="center"/>
        <w:rPr>
          <w:rFonts w:ascii="Times New Roman" w:hAnsi="Times New Roman"/>
          <w:b/>
          <w:b/>
          <w:bCs/>
        </w:rPr>
      </w:pPr>
      <w:r>
        <w:rPr>
          <w:rFonts w:ascii="Times New Roman" w:hAnsi="Times New Roman"/>
          <w:b/>
          <w:bCs/>
        </w:rPr>
        <w:t>A) SAŽETAK RAČUNA PRIHODA I RASHODA</w:t>
      </w:r>
    </w:p>
    <w:tbl>
      <w:tblPr>
        <w:tblW w:w="10649" w:type="dxa"/>
        <w:jc w:val="left"/>
        <w:tblInd w:w="28" w:type="dxa"/>
        <w:tblLayout w:type="fixed"/>
        <w:tblCellMar>
          <w:top w:w="28" w:type="dxa"/>
          <w:left w:w="28" w:type="dxa"/>
          <w:bottom w:w="28" w:type="dxa"/>
          <w:right w:w="28" w:type="dxa"/>
        </w:tblCellMar>
      </w:tblPr>
      <w:tblGrid>
        <w:gridCol w:w="4540"/>
        <w:gridCol w:w="2036"/>
        <w:gridCol w:w="2036"/>
        <w:gridCol w:w="2036"/>
      </w:tblGrid>
      <w:tr>
        <w:trPr>
          <w:trHeight w:val="461" w:hRule="atLeast"/>
        </w:trPr>
        <w:tc>
          <w:tcPr>
            <w:tcW w:w="4540" w:type="dxa"/>
            <w:tcBorders>
              <w:top w:val="single" w:sz="2" w:space="0" w:color="000000"/>
              <w:left w:val="single" w:sz="2" w:space="0" w:color="000000"/>
              <w:bottom w:val="single" w:sz="2" w:space="0" w:color="000000"/>
              <w:right w:val="single" w:sz="2" w:space="0" w:color="000000"/>
            </w:tcBorders>
            <w:vAlign w:val="center"/>
          </w:tcPr>
          <w:p>
            <w:pPr>
              <w:pStyle w:val="Sadrajitablice"/>
              <w:widowControl w:val="false"/>
              <w:jc w:val="center"/>
              <w:rPr>
                <w:rFonts w:ascii="Arial" w:hAnsi="Arial"/>
                <w:b/>
                <w:b/>
                <w:color w:val="000000"/>
                <w:sz w:val="14"/>
              </w:rPr>
            </w:pPr>
            <w:r>
              <w:rPr>
                <w:rFonts w:ascii="Arial" w:hAnsi="Arial"/>
                <w:b/>
                <w:color w:val="000000"/>
                <w:sz w:val="14"/>
              </w:rPr>
              <w:t>Razred i naziv</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Povećanje/smanjenje</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446"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r>
      <w:tr>
        <w:trPr>
          <w:trHeight w:val="461"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PRIHODI UKUPNO</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1.318.190,00</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-7.732,00</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1.310.458,00</w:t>
            </w:r>
          </w:p>
        </w:tc>
      </w:tr>
      <w:tr>
        <w:trPr>
          <w:trHeight w:val="446"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6 PRIHODI POSLOVANJA</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1.318.190,00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-7.732,00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1.310.458,00</w:t>
            </w:r>
          </w:p>
        </w:tc>
      </w:tr>
      <w:tr>
        <w:trPr>
          <w:trHeight w:val="461"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7 PRIHODI OD PRODAJE NEFINANCIJSKE IMOVINE</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446"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RASHODI UKUPNO</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1.425.190,00</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109.123,09</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1.534.313,09</w:t>
            </w:r>
          </w:p>
        </w:tc>
      </w:tr>
      <w:tr>
        <w:trPr>
          <w:trHeight w:val="446"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 RASHODI POSLOVANJA</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930.190,00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22.455,09</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952.645,09</w:t>
            </w:r>
          </w:p>
        </w:tc>
      </w:tr>
      <w:tr>
        <w:trPr>
          <w:trHeight w:val="461"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 RASHODI ZA NABAVU NEFINANCIJSKE IMOVINE</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495.000,00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86.668,00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581.668,00</w:t>
            </w:r>
          </w:p>
        </w:tc>
      </w:tr>
      <w:tr>
        <w:trPr>
          <w:trHeight w:val="446"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RAZLIKA - VIŠAK / MANJAK</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-107.000,00</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-116.855,09</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-223.855,09</w:t>
            </w:r>
          </w:p>
        </w:tc>
      </w:tr>
    </w:tbl>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B) SAŽETAK RAČUNA FINANCIRANJA</w:t>
      </w:r>
    </w:p>
    <w:tbl>
      <w:tblPr>
        <w:tblW w:w="10649" w:type="dxa"/>
        <w:jc w:val="left"/>
        <w:tblInd w:w="28" w:type="dxa"/>
        <w:tblLayout w:type="fixed"/>
        <w:tblCellMar>
          <w:top w:w="28" w:type="dxa"/>
          <w:left w:w="28" w:type="dxa"/>
          <w:bottom w:w="28" w:type="dxa"/>
          <w:right w:w="28" w:type="dxa"/>
        </w:tblCellMar>
      </w:tblPr>
      <w:tblGrid>
        <w:gridCol w:w="4540"/>
        <w:gridCol w:w="2036"/>
        <w:gridCol w:w="2036"/>
        <w:gridCol w:w="2036"/>
      </w:tblGrid>
      <w:tr>
        <w:trPr>
          <w:trHeight w:val="491" w:hRule="atLeast"/>
        </w:trPr>
        <w:tc>
          <w:tcPr>
            <w:tcW w:w="4540" w:type="dxa"/>
            <w:tcBorders>
              <w:top w:val="single" w:sz="2" w:space="0" w:color="000000"/>
              <w:left w:val="single" w:sz="2" w:space="0" w:color="000000"/>
              <w:bottom w:val="single" w:sz="2" w:space="0" w:color="000000"/>
              <w:right w:val="single" w:sz="2" w:space="0" w:color="000000"/>
            </w:tcBorders>
            <w:vAlign w:val="center"/>
          </w:tcPr>
          <w:p>
            <w:pPr>
              <w:pStyle w:val="Sadrajitablice"/>
              <w:widowControl w:val="false"/>
              <w:jc w:val="center"/>
              <w:rPr>
                <w:rFonts w:ascii="Arial" w:hAnsi="Arial"/>
                <w:b/>
                <w:b/>
                <w:color w:val="000000"/>
                <w:sz w:val="14"/>
              </w:rPr>
            </w:pPr>
            <w:r>
              <w:rPr>
                <w:rFonts w:ascii="Arial" w:hAnsi="Arial"/>
                <w:b/>
                <w:color w:val="000000"/>
                <w:sz w:val="14"/>
              </w:rPr>
              <w:t>Razred i naziv</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Povećanje/smanjenje</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446"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r>
      <w:tr>
        <w:trPr>
          <w:trHeight w:val="461"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8 PRIMICI OD FINANCIJSKE IMOVINE I ZADUŽIVANJA</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506"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 IZDACI ZA FINANCIJSKU IMOVINU I OTPLATE ZAJMOVA</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446"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NETO FINANCIRANJE</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461"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VIŠAK/MANJAK + NETO FINANCIRANJE</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-107.000,00</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-116.855,09</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-223.855,09</w:t>
            </w:r>
          </w:p>
        </w:tc>
      </w:tr>
    </w:tbl>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C) PRENESENI VIŠAK ILI PRENESENI MANJAK</w:t>
      </w:r>
    </w:p>
    <w:tbl>
      <w:tblPr>
        <w:tblW w:w="10649" w:type="dxa"/>
        <w:jc w:val="left"/>
        <w:tblInd w:w="28" w:type="dxa"/>
        <w:tblLayout w:type="fixed"/>
        <w:tblCellMar>
          <w:top w:w="28" w:type="dxa"/>
          <w:left w:w="28" w:type="dxa"/>
          <w:bottom w:w="28" w:type="dxa"/>
          <w:right w:w="28" w:type="dxa"/>
        </w:tblCellMar>
      </w:tblPr>
      <w:tblGrid>
        <w:gridCol w:w="4540"/>
        <w:gridCol w:w="2036"/>
        <w:gridCol w:w="2036"/>
        <w:gridCol w:w="2036"/>
      </w:tblGrid>
      <w:tr>
        <w:trPr>
          <w:trHeight w:val="626" w:hRule="atLeast"/>
        </w:trPr>
        <w:tc>
          <w:tcPr>
            <w:tcW w:w="4540" w:type="dxa"/>
            <w:tcBorders>
              <w:top w:val="single" w:sz="2" w:space="0" w:color="000000"/>
              <w:left w:val="single" w:sz="2" w:space="0" w:color="000000"/>
              <w:bottom w:val="single" w:sz="2" w:space="0" w:color="000000"/>
              <w:right w:val="single" w:sz="2" w:space="0" w:color="000000"/>
            </w:tcBorders>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Povećanje/smanjenje</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446"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r>
      <w:tr>
        <w:trPr>
          <w:trHeight w:val="521"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PRIJENOS VIŠKA / MANJKA IZ PRETHODNE(IH) GODINA</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r>
        <w:trPr>
          <w:trHeight w:val="446"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PRIJENOS VIŠKA / MANJKA U SLJEDEĆE RAZDOBLJE</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r>
        <w:trPr>
          <w:trHeight w:val="686" w:hRule="atLeast"/>
        </w:trPr>
        <w:tc>
          <w:tcPr>
            <w:tcW w:w="4540" w:type="dxa"/>
            <w:tcBorders>
              <w:left w:val="single" w:sz="2" w:space="0" w:color="000000"/>
              <w:bottom w:val="single" w:sz="2" w:space="0" w:color="000000"/>
              <w:right w:val="single" w:sz="2" w:space="0" w:color="000000"/>
            </w:tcBorders>
            <w:shd w:fill="A9A9A9"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VIŠAK / MANJAK + NETO FINANCIRANJE + PRIJENOS VIŠKA / MANJKA IZ PRETHODNE(IH) GODINE - PRIJENOS VIŠKA / MANJKA U SLJEDEĆE RAZDOBLJE</w:t>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bl>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D) VIŠEGODIŠNJI PLAN URAVNOTEŽENJA</w:t>
      </w:r>
    </w:p>
    <w:tbl>
      <w:tblPr>
        <w:tblW w:w="10649" w:type="dxa"/>
        <w:jc w:val="left"/>
        <w:tblInd w:w="28" w:type="dxa"/>
        <w:tblLayout w:type="fixed"/>
        <w:tblCellMar>
          <w:top w:w="28" w:type="dxa"/>
          <w:left w:w="28" w:type="dxa"/>
          <w:bottom w:w="28" w:type="dxa"/>
          <w:right w:w="28" w:type="dxa"/>
        </w:tblCellMar>
      </w:tblPr>
      <w:tblGrid>
        <w:gridCol w:w="4540"/>
        <w:gridCol w:w="2036"/>
        <w:gridCol w:w="2036"/>
        <w:gridCol w:w="2036"/>
      </w:tblGrid>
      <w:tr>
        <w:trPr>
          <w:trHeight w:val="626" w:hRule="atLeast"/>
        </w:trPr>
        <w:tc>
          <w:tcPr>
            <w:tcW w:w="4540" w:type="dxa"/>
            <w:tcBorders>
              <w:top w:val="single" w:sz="2" w:space="0" w:color="000000"/>
              <w:left w:val="single" w:sz="2" w:space="0" w:color="000000"/>
              <w:bottom w:val="single" w:sz="2" w:space="0" w:color="000000"/>
              <w:right w:val="single" w:sz="2" w:space="0" w:color="000000"/>
            </w:tcBorders>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Povećanje/smanjenje</w:t>
            </w:r>
          </w:p>
        </w:tc>
        <w:tc>
          <w:tcPr>
            <w:tcW w:w="2036" w:type="dxa"/>
            <w:tcBorders>
              <w:top w:val="single" w:sz="2" w:space="0" w:color="000000"/>
              <w:bottom w:val="single" w:sz="2" w:space="0" w:color="000000"/>
              <w:right w:val="single" w:sz="2" w:space="0" w:color="000000"/>
            </w:tcBorders>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446" w:hRule="atLeast"/>
        </w:trPr>
        <w:tc>
          <w:tcPr>
            <w:tcW w:w="45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20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r>
      <w:tr>
        <w:trPr>
          <w:trHeight w:val="521"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PRIJENOS VIŠKA / MANJKA IZ PRETHODNE(IH) GODINE</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r>
        <w:trPr>
          <w:trHeight w:val="506" w:hRule="atLeast"/>
        </w:trPr>
        <w:tc>
          <w:tcPr>
            <w:tcW w:w="4540" w:type="dxa"/>
            <w:tcBorders>
              <w:left w:val="single" w:sz="2" w:space="0" w:color="000000"/>
              <w:bottom w:val="single" w:sz="2" w:space="0" w:color="000000"/>
              <w:right w:val="single" w:sz="2" w:space="0" w:color="000000"/>
            </w:tcBorders>
            <w:shd w:fill="A9A9A9"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VIŠAK / MANJAK IZ PRETHODNE(IH) GODINE KOJI ĆE SE RASPOREDITI / POKRITI</w:t>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r>
        <w:trPr>
          <w:trHeight w:val="446" w:hRule="atLeast"/>
        </w:trPr>
        <w:tc>
          <w:tcPr>
            <w:tcW w:w="4540" w:type="dxa"/>
            <w:tcBorders>
              <w:left w:val="single" w:sz="2" w:space="0" w:color="000000"/>
              <w:bottom w:val="single" w:sz="2" w:space="0" w:color="000000"/>
              <w:right w:val="single" w:sz="2" w:space="0" w:color="000000"/>
            </w:tcBorders>
            <w:shd w:fill="A9A9A9"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VIŠAK / MANJAK TEKUĆE GODINE</w:t>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A9A9A9"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r>
        <w:trPr>
          <w:trHeight w:val="461" w:hRule="atLeast"/>
        </w:trPr>
        <w:tc>
          <w:tcPr>
            <w:tcW w:w="4540" w:type="dxa"/>
            <w:tcBorders>
              <w:left w:val="single" w:sz="2" w:space="0" w:color="000000"/>
              <w:bottom w:val="single" w:sz="2" w:space="0" w:color="000000"/>
              <w:right w:val="single" w:sz="2" w:space="0" w:color="000000"/>
            </w:tcBorders>
            <w:shd w:fill="DCDCDC" w:val="clear"/>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PRIJENOS VIŠKA / MANJKA U SLJEDEĆE RAZDOBLJE</w:t>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2036" w:type="dxa"/>
            <w:tcBorders>
              <w:bottom w:val="single" w:sz="2" w:space="0" w:color="000000"/>
              <w:right w:val="single" w:sz="2" w:space="0" w:color="000000"/>
            </w:tcBorders>
            <w:shd w:fill="DCDCDC" w:val="clear"/>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b/>
          <w:b/>
          <w:bCs/>
        </w:rPr>
      </w:pPr>
      <w:r>
        <w:rPr>
          <w:rFonts w:ascii="Times New Roman" w:hAnsi="Times New Roman"/>
          <w:b/>
          <w:bCs/>
        </w:rPr>
        <w:t>A. RAČUN PRIHODA I RASHODA</w:t>
      </w:r>
    </w:p>
    <w:p>
      <w:pPr>
        <w:pStyle w:val="Normal"/>
        <w:jc w:val="center"/>
        <w:rPr>
          <w:rFonts w:ascii="Times New Roman" w:hAnsi="Times New Roman"/>
          <w:b/>
          <w:b/>
          <w:bCs/>
        </w:rPr>
      </w:pPr>
      <w:r>
        <w:rPr>
          <w:rFonts w:ascii="Times New Roman" w:hAnsi="Times New Roman"/>
          <w:b/>
          <w:bCs/>
        </w:rPr>
        <w:t>A1. PRIHODI I RASHODI PREMA EKONOMSKOJ KLASIFIKACIJI</w:t>
      </w:r>
    </w:p>
    <w:tbl>
      <w:tblPr>
        <w:tblW w:w="10765" w:type="dxa"/>
        <w:jc w:val="left"/>
        <w:tblInd w:w="28" w:type="dxa"/>
        <w:tblLayout w:type="fixed"/>
        <w:tblCellMar>
          <w:top w:w="28" w:type="dxa"/>
          <w:left w:w="28" w:type="dxa"/>
          <w:bottom w:w="28" w:type="dxa"/>
          <w:right w:w="28" w:type="dxa"/>
        </w:tblCellMar>
      </w:tblPr>
      <w:tblGrid>
        <w:gridCol w:w="986"/>
        <w:gridCol w:w="4016"/>
        <w:gridCol w:w="1886"/>
        <w:gridCol w:w="1900"/>
        <w:gridCol w:w="1977"/>
      </w:tblGrid>
      <w:tr>
        <w:trPr>
          <w:trHeight w:val="611" w:hRule="atLeast"/>
        </w:trPr>
        <w:tc>
          <w:tcPr>
            <w:tcW w:w="986"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Razred/ skupina</w:t>
            </w:r>
          </w:p>
        </w:tc>
        <w:tc>
          <w:tcPr>
            <w:tcW w:w="401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 prihoda</w:t>
            </w:r>
          </w:p>
        </w:tc>
        <w:tc>
          <w:tcPr>
            <w:tcW w:w="188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900"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Povećanje/smanjenje</w:t>
            </w:r>
          </w:p>
        </w:tc>
        <w:tc>
          <w:tcPr>
            <w:tcW w:w="197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281"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UKUPNO PRIHODI</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1.318.190,00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-7.732,00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1.310.458,00</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6</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Prihodi poslovanja</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1.318.190,00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-7.732,00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1.310.458,00</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61</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Prihodi od poreza</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218.000,00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218.000,00</w:t>
            </w:r>
          </w:p>
        </w:tc>
      </w:tr>
      <w:tr>
        <w:trPr>
          <w:trHeight w:val="47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63</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Pomoći iz inozemstva i od subjekata unutar općeg proračuna</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772.450,00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-7.732,00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764.718,00</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64</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Prihodi od imovine</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3.490,00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3.490,00</w:t>
            </w:r>
          </w:p>
        </w:tc>
      </w:tr>
      <w:tr>
        <w:trPr>
          <w:trHeight w:val="461"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65</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Prihodi od upravnih i administrativnih pristojbi, pristojbi po posebnim propisima i naknada</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24.250,00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24.250,00</w:t>
            </w:r>
          </w:p>
        </w:tc>
      </w:tr>
      <w:tr>
        <w:trPr>
          <w:trHeight w:val="65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66</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Prihodi od prodaje proizvoda i robe te pruženih usluga, prihodi od donacija te povrati po protestiranim jamstvima</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300.000,00</w:t>
            </w:r>
          </w:p>
        </w:tc>
      </w:tr>
    </w:tbl>
    <w:p>
      <w:pPr>
        <w:pStyle w:val="Normal"/>
        <w:jc w:val="center"/>
        <w:rPr>
          <w:rFonts w:ascii="Times New Roman" w:hAnsi="Times New Roman"/>
        </w:rPr>
      </w:pPr>
      <w:r>
        <w:rPr>
          <w:rFonts w:ascii="Times New Roman" w:hAnsi="Times New Roman"/>
        </w:rPr>
      </w:r>
    </w:p>
    <w:tbl>
      <w:tblPr>
        <w:tblW w:w="10765" w:type="dxa"/>
        <w:jc w:val="left"/>
        <w:tblInd w:w="28" w:type="dxa"/>
        <w:tblLayout w:type="fixed"/>
        <w:tblCellMar>
          <w:top w:w="28" w:type="dxa"/>
          <w:left w:w="28" w:type="dxa"/>
          <w:bottom w:w="28" w:type="dxa"/>
          <w:right w:w="28" w:type="dxa"/>
        </w:tblCellMar>
      </w:tblPr>
      <w:tblGrid>
        <w:gridCol w:w="986"/>
        <w:gridCol w:w="4016"/>
        <w:gridCol w:w="1886"/>
        <w:gridCol w:w="1900"/>
        <w:gridCol w:w="1977"/>
      </w:tblGrid>
      <w:tr>
        <w:trPr>
          <w:trHeight w:val="611" w:hRule="atLeast"/>
        </w:trPr>
        <w:tc>
          <w:tcPr>
            <w:tcW w:w="986"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Razred/ skupina</w:t>
            </w:r>
          </w:p>
        </w:tc>
        <w:tc>
          <w:tcPr>
            <w:tcW w:w="401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 rashoda</w:t>
            </w:r>
          </w:p>
        </w:tc>
        <w:tc>
          <w:tcPr>
            <w:tcW w:w="188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900"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Povećanje/smanjenje</w:t>
            </w:r>
          </w:p>
        </w:tc>
        <w:tc>
          <w:tcPr>
            <w:tcW w:w="197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281"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UKUPNO RASHODI</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1.425.190,00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109.123,09</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1.534.313,09</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3</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Rashodi poslovanja</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930.190,00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22.455,09</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952.645,09</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31</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zaposlene</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372.700,00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373.000,00</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299.480,00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16.664,09</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316.144,09</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34</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Financijski rashodi</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4.930,00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4.930,00</w:t>
            </w:r>
          </w:p>
        </w:tc>
      </w:tr>
      <w:tr>
        <w:trPr>
          <w:trHeight w:val="47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36</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Pomoći dane u inozemstvo i unutar općeg proračuna</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19.550,00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-8.500,00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11.050,00</w:t>
            </w:r>
          </w:p>
        </w:tc>
      </w:tr>
      <w:tr>
        <w:trPr>
          <w:trHeight w:val="461"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37</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Naknade građanima i kućanstvima na temelju osiguranja i druge naknade</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80.050,00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95.050,00</w:t>
            </w:r>
          </w:p>
        </w:tc>
      </w:tr>
      <w:tr>
        <w:trPr>
          <w:trHeight w:val="47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153.480,00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-1.009,00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152.471,00</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4</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Rashodi za nabavu nefinancijske imovine</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495.000,00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86.668,00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581.668,00</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42</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proizvedene dugotrajne imovine</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24.000,00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131.968,00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155.968,00</w:t>
            </w:r>
          </w:p>
        </w:tc>
      </w:tr>
      <w:tr>
        <w:trPr>
          <w:trHeight w:val="461"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45</w:t>
            </w:r>
          </w:p>
        </w:tc>
        <w:tc>
          <w:tcPr>
            <w:tcW w:w="401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dodatna ulaganja na nefinancijskoj imovini</w:t>
            </w:r>
          </w:p>
        </w:tc>
        <w:tc>
          <w:tcPr>
            <w:tcW w:w="188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471.000,00</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-45.300,00</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425.700,00</w:t>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t>A2. PRIHODI I RASHODI PREMA IZVORIMA FINANCIRANJA</w:t>
      </w:r>
    </w:p>
    <w:tbl>
      <w:tblPr>
        <w:tblW w:w="10915" w:type="dxa"/>
        <w:jc w:val="left"/>
        <w:tblInd w:w="28" w:type="dxa"/>
        <w:tblLayout w:type="fixed"/>
        <w:tblCellMar>
          <w:top w:w="28" w:type="dxa"/>
          <w:left w:w="28" w:type="dxa"/>
          <w:bottom w:w="28" w:type="dxa"/>
          <w:right w:w="28" w:type="dxa"/>
        </w:tblCellMar>
      </w:tblPr>
      <w:tblGrid>
        <w:gridCol w:w="865"/>
        <w:gridCol w:w="4242"/>
        <w:gridCol w:w="1946"/>
        <w:gridCol w:w="1931"/>
        <w:gridCol w:w="1931"/>
      </w:tblGrid>
      <w:tr>
        <w:trPr>
          <w:trHeight w:val="611" w:hRule="atLeast"/>
        </w:trPr>
        <w:tc>
          <w:tcPr>
            <w:tcW w:w="865"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Razred /</w:t>
              <w:br/>
              <w:t>skupina</w:t>
            </w:r>
          </w:p>
        </w:tc>
        <w:tc>
          <w:tcPr>
            <w:tcW w:w="4242"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194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93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 / smanjenje</w:t>
            </w:r>
          </w:p>
        </w:tc>
        <w:tc>
          <w:tcPr>
            <w:tcW w:w="193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311"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UKUPNO PRIHODI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1.318.190,00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-7.732,00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1.310.458,00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OPĆI PRIHODI I PRIMICI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498.450,00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498.450,00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11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OPĆI PRIHODI I PRIMICI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498.450,00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498.450,00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4</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PRIHODI ZA POSEBNE NAMJENE</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27.290,00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27.290,00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43</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OSTALI PRIHODI ZA POSEBNE NAMJENE</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27.290,00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27.290,00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5</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POMOĆI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492.450,00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-7.732,00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484.718,00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50</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POMOĆI IZ DRŽAVNOG PRORAČUNA</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105.000,00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55.000,00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52</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OSTALE POMOĆI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41.450,00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41.450,00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56</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FONDOVI EU</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346.000,00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42.268,00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388.268,00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561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EUROPSKI SOCIJALNI FOND PLUS</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42.000,00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302.000,00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563</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EUROPSKI FOND ZA REGIONALNI RAZVOJ</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268,00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86.268,00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6</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DONACIJE</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300.000,00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300.000,00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61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DONACIJE</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300.000,00</w:t>
            </w:r>
          </w:p>
        </w:tc>
      </w:tr>
      <w:tr>
        <w:trPr>
          <w:trHeight w:val="611" w:hRule="atLeast"/>
        </w:trPr>
        <w:tc>
          <w:tcPr>
            <w:tcW w:w="865"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Razred /</w:t>
              <w:br/>
              <w:t>skupina</w:t>
            </w:r>
          </w:p>
        </w:tc>
        <w:tc>
          <w:tcPr>
            <w:tcW w:w="4242"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194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93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 / smanjenje</w:t>
            </w:r>
          </w:p>
        </w:tc>
        <w:tc>
          <w:tcPr>
            <w:tcW w:w="193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29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UKUPNO RASHODI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1.425.190,00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109.123,09</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1.534.313,09</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OPĆI PRIHODI I PRIMICI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605.450,00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605.450,00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11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OPĆI PRIHODI I PRIMICI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605.450,00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605.450,00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4</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PRIHODI ZA POSEBNE NAMJENE</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27.290,00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27.290,00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43</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OSTALI PRIHODI ZA POSEBNE NAMJENE</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27.290,00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27.290,00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5</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POMOĆI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492.450,00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2.268,00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494.718,00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50</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POMOĆI IZ DRŽAVNOG PRORAČUNA</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105.000,00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55.000,00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52</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OSTALE POMOĆI</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41.450,00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51.450,00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56</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FONDOVI EU</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346.000,00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42.268,00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388.268,00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561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EUROPSKI SOCIJALNI FOND PLUS</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42.000,00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302.000,00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563</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EUROPSKI FOND ZA REGIONALNI RAZVOJ</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268,00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86.268,00</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6</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DONACIJE</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300.000,00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106.855,09</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406.855,09</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61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DONACIJE</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300.000,00</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106.855,09</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406.855,09</w:t>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t>A3. RASHODI PREMA FUNKCIJSKOJ KLASIFIKACIJI</w:t>
      </w:r>
    </w:p>
    <w:tbl>
      <w:tblPr>
        <w:tblW w:w="10750" w:type="dxa"/>
        <w:jc w:val="left"/>
        <w:tblInd w:w="28" w:type="dxa"/>
        <w:tblLayout w:type="fixed"/>
        <w:tblCellMar>
          <w:top w:w="28" w:type="dxa"/>
          <w:left w:w="28" w:type="dxa"/>
          <w:bottom w:w="28" w:type="dxa"/>
          <w:right w:w="28" w:type="dxa"/>
        </w:tblCellMar>
      </w:tblPr>
      <w:tblGrid>
        <w:gridCol w:w="821"/>
        <w:gridCol w:w="4390"/>
        <w:gridCol w:w="1857"/>
        <w:gridCol w:w="1840"/>
        <w:gridCol w:w="1842"/>
      </w:tblGrid>
      <w:tr>
        <w:trPr>
          <w:trHeight w:val="581" w:hRule="atLeast"/>
        </w:trPr>
        <w:tc>
          <w:tcPr>
            <w:tcW w:w="821"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Razred/</w:t>
              <w:br/>
              <w:t>skupina</w:t>
            </w:r>
          </w:p>
        </w:tc>
        <w:tc>
          <w:tcPr>
            <w:tcW w:w="4390"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185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840"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Povećanje/smanjenje</w:t>
            </w:r>
          </w:p>
        </w:tc>
        <w:tc>
          <w:tcPr>
            <w:tcW w:w="1842"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281"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UKUPNO RASHODI</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1.425.190,00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109.123,09</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1.534.313,09</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01</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Opće javne usluge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760.110,00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115.664,09</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875.774,09</w:t>
            </w:r>
          </w:p>
        </w:tc>
      </w:tr>
      <w:tr>
        <w:trPr>
          <w:trHeight w:val="47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011</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Izvršna i zakonodavna tijela, financijski i fiskalni poslovi, vanjski poslovi</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760.110,00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115.664,09</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875.774,09</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03</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Javni red i sigurnost</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7.980,00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1.991,00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9.971,00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032</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Usluge protupožarne zaštite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7.980,00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1.991,00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9.971,00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06</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Usluge unapređenja stanovanja i zajednice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52.000,00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-5.000,00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47.000,00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062</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Razvoj zajednice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45.000,00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45.000,00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064</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Ulična rasvjeta</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7.000,00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2.000,00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08</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Rekreacija, kultura i religija</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124.250,00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130.968,00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255.218,00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081</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Službe rekreacije i sporta</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69.500,00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133.968,00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203.468,00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082</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Službe kulture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54.750,00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51.750,00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09</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Obrazovanje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31.550,00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6.500,00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38.050,00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091</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Predškolsko i osnovno obrazovanje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26.550,00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6.500,00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33.050,00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092</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Srednjoškolsko obrazovanje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10</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Socijalna zaštita</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449.300,00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-141.000,00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308.300,00</w:t>
            </w:r>
          </w:p>
        </w:tc>
      </w:tr>
      <w:tr>
        <w:trPr>
          <w:trHeight w:val="416"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106</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Stanovanje</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151.000,00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-141.000,00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10.000,00</w:t>
            </w:r>
          </w:p>
        </w:tc>
      </w:tr>
      <w:tr>
        <w:trPr>
          <w:trHeight w:val="461" w:hRule="atLeast"/>
        </w:trPr>
        <w:tc>
          <w:tcPr>
            <w:tcW w:w="821"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107</w:t>
            </w:r>
          </w:p>
        </w:tc>
        <w:tc>
          <w:tcPr>
            <w:tcW w:w="4390"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Socijalna pomoć stanovništvu koje nije obuhvaćeno redovnim socijalnim programima</w:t>
            </w:r>
          </w:p>
        </w:tc>
        <w:tc>
          <w:tcPr>
            <w:tcW w:w="185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298.300,00</w:t>
            </w:r>
          </w:p>
        </w:tc>
        <w:tc>
          <w:tcPr>
            <w:tcW w:w="184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842"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298.300,00</w:t>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t>B. RAČUN FINANCIRANJA</w:t>
      </w:r>
    </w:p>
    <w:p>
      <w:pPr>
        <w:pStyle w:val="Normal"/>
        <w:jc w:val="center"/>
        <w:rPr>
          <w:rFonts w:ascii="Times New Roman" w:hAnsi="Times New Roman"/>
        </w:rPr>
      </w:pPr>
      <w:r>
        <w:rPr>
          <w:rFonts w:ascii="Times New Roman" w:hAnsi="Times New Roman"/>
        </w:rPr>
        <w:t>B1. RAČUN FINANCIRANJA PREMA EKONOMSKOJ KLASIFIKACIJI</w:t>
      </w:r>
    </w:p>
    <w:tbl>
      <w:tblPr>
        <w:tblW w:w="10765" w:type="dxa"/>
        <w:jc w:val="left"/>
        <w:tblInd w:w="28" w:type="dxa"/>
        <w:tblLayout w:type="fixed"/>
        <w:tblCellMar>
          <w:top w:w="28" w:type="dxa"/>
          <w:left w:w="28" w:type="dxa"/>
          <w:bottom w:w="28" w:type="dxa"/>
          <w:right w:w="28" w:type="dxa"/>
        </w:tblCellMar>
      </w:tblPr>
      <w:tblGrid>
        <w:gridCol w:w="986"/>
        <w:gridCol w:w="4001"/>
        <w:gridCol w:w="1901"/>
        <w:gridCol w:w="1900"/>
        <w:gridCol w:w="1977"/>
      </w:tblGrid>
      <w:tr>
        <w:trPr>
          <w:trHeight w:val="626" w:hRule="atLeast"/>
        </w:trPr>
        <w:tc>
          <w:tcPr>
            <w:tcW w:w="986"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Razred/ skupina</w:t>
            </w:r>
          </w:p>
        </w:tc>
        <w:tc>
          <w:tcPr>
            <w:tcW w:w="400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190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900"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Povećanje/smanjenje</w:t>
            </w:r>
          </w:p>
        </w:tc>
        <w:tc>
          <w:tcPr>
            <w:tcW w:w="197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29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400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90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400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190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r>
      <w:tr>
        <w:trPr>
          <w:trHeight w:val="416" w:hRule="atLeast"/>
        </w:trPr>
        <w:tc>
          <w:tcPr>
            <w:tcW w:w="986"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400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0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00"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77"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t>B2. RAČUN FINANCIRANJA PREMA IZVORIMA FINANCIRANJA</w:t>
      </w:r>
    </w:p>
    <w:tbl>
      <w:tblPr>
        <w:tblW w:w="10915" w:type="dxa"/>
        <w:jc w:val="left"/>
        <w:tblInd w:w="28" w:type="dxa"/>
        <w:tblLayout w:type="fixed"/>
        <w:tblCellMar>
          <w:top w:w="28" w:type="dxa"/>
          <w:left w:w="28" w:type="dxa"/>
          <w:bottom w:w="28" w:type="dxa"/>
          <w:right w:w="28" w:type="dxa"/>
        </w:tblCellMar>
      </w:tblPr>
      <w:tblGrid>
        <w:gridCol w:w="865"/>
        <w:gridCol w:w="4242"/>
        <w:gridCol w:w="1946"/>
        <w:gridCol w:w="1931"/>
        <w:gridCol w:w="1931"/>
      </w:tblGrid>
      <w:tr>
        <w:trPr>
          <w:trHeight w:val="611" w:hRule="atLeast"/>
        </w:trPr>
        <w:tc>
          <w:tcPr>
            <w:tcW w:w="865"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Razred /</w:t>
              <w:br/>
              <w:t>skupina</w:t>
            </w:r>
          </w:p>
        </w:tc>
        <w:tc>
          <w:tcPr>
            <w:tcW w:w="4242"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194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93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 / smanjenje</w:t>
            </w:r>
          </w:p>
        </w:tc>
        <w:tc>
          <w:tcPr>
            <w:tcW w:w="193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311"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rPr>
                <w:sz w:val="4"/>
                <w:szCs w:val="4"/>
              </w:rPr>
            </w:pPr>
            <w:r>
              <w:rPr>
                <w:sz w:val="4"/>
                <w:szCs w:val="4"/>
              </w:rPr>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b/>
                <w:b/>
                <w:color w:val="000000"/>
                <w:sz w:val="14"/>
              </w:rPr>
            </w:pPr>
            <w:r>
              <w:rPr>
                <w:rFonts w:ascii="Arial" w:hAnsi="Arial"/>
                <w:b/>
                <w:color w:val="000000"/>
                <w:sz w:val="14"/>
              </w:rPr>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r>
        <w:trPr>
          <w:trHeight w:val="416" w:hRule="atLeast"/>
        </w:trPr>
        <w:tc>
          <w:tcPr>
            <w:tcW w:w="86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4242"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46"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c>
          <w:tcPr>
            <w:tcW w:w="1931" w:type="dxa"/>
            <w:tcBorders>
              <w:bottom w:val="single" w:sz="2" w:space="0" w:color="000000"/>
              <w:right w:val="single" w:sz="2" w:space="0" w:color="000000"/>
            </w:tcBorders>
            <w:tcMar>
              <w:top w:w="0" w:type="dxa"/>
              <w:left w:w="0" w:type="dxa"/>
            </w:tcMar>
            <w:vAlign w:val="center"/>
          </w:tcPr>
          <w:p>
            <w:pPr>
              <w:pStyle w:val="Sadrajitablice"/>
              <w:widowControl w:val="false"/>
              <w:rPr>
                <w:rFonts w:ascii="Arial" w:hAnsi="Arial"/>
                <w:color w:val="000000"/>
                <w:sz w:val="14"/>
              </w:rPr>
            </w:pPr>
            <w:r>
              <w:rPr>
                <w:rFonts w:ascii="Arial" w:hAnsi="Arial"/>
                <w:color w:val="000000"/>
                <w:sz w:val="14"/>
              </w:rPr>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t>C) PRENESENI VIŠAK ILI PRENESENI MANJAK</w:t>
      </w:r>
    </w:p>
    <w:tbl>
      <w:tblPr>
        <w:tblW w:w="10933" w:type="dxa"/>
        <w:jc w:val="left"/>
        <w:tblInd w:w="28" w:type="dxa"/>
        <w:tblLayout w:type="fixed"/>
        <w:tblCellMar>
          <w:top w:w="28" w:type="dxa"/>
          <w:left w:w="28" w:type="dxa"/>
          <w:bottom w:w="28" w:type="dxa"/>
          <w:right w:w="28" w:type="dxa"/>
        </w:tblCellMar>
      </w:tblPr>
      <w:tblGrid>
        <w:gridCol w:w="640"/>
        <w:gridCol w:w="551"/>
        <w:gridCol w:w="2937"/>
        <w:gridCol w:w="1750"/>
        <w:gridCol w:w="1707"/>
        <w:gridCol w:w="1736"/>
        <w:gridCol w:w="806"/>
        <w:gridCol w:w="804"/>
      </w:tblGrid>
      <w:tr>
        <w:trPr>
          <w:trHeight w:val="611" w:hRule="atLeast"/>
        </w:trPr>
        <w:tc>
          <w:tcPr>
            <w:tcW w:w="640"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Konto</w:t>
            </w:r>
          </w:p>
        </w:tc>
        <w:tc>
          <w:tcPr>
            <w:tcW w:w="551"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Izvor</w:t>
            </w:r>
          </w:p>
        </w:tc>
        <w:tc>
          <w:tcPr>
            <w:tcW w:w="293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1750"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70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 / smanjenje</w:t>
            </w:r>
          </w:p>
        </w:tc>
        <w:tc>
          <w:tcPr>
            <w:tcW w:w="173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c>
          <w:tcPr>
            <w:tcW w:w="80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 xml:space="preserve">Indeks </w:t>
              <w:br/>
              <w:t>6/4</w:t>
            </w:r>
          </w:p>
        </w:tc>
        <w:tc>
          <w:tcPr>
            <w:tcW w:w="804"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Indeks</w:t>
              <w:br/>
              <w:t>6/5</w:t>
            </w:r>
          </w:p>
        </w:tc>
      </w:tr>
      <w:tr>
        <w:trPr>
          <w:trHeight w:val="281" w:hRule="atLeast"/>
        </w:trPr>
        <w:tc>
          <w:tcPr>
            <w:tcW w:w="6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551"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293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750"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70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c>
          <w:tcPr>
            <w:tcW w:w="173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6</w:t>
            </w:r>
          </w:p>
        </w:tc>
        <w:tc>
          <w:tcPr>
            <w:tcW w:w="80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7</w:t>
            </w:r>
          </w:p>
        </w:tc>
        <w:tc>
          <w:tcPr>
            <w:tcW w:w="804"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8</w:t>
            </w:r>
          </w:p>
        </w:tc>
      </w:tr>
      <w:tr>
        <w:trPr>
          <w:trHeight w:val="416" w:hRule="atLeast"/>
        </w:trPr>
        <w:tc>
          <w:tcPr>
            <w:tcW w:w="6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9</w:t>
            </w:r>
          </w:p>
        </w:tc>
        <w:tc>
          <w:tcPr>
            <w:tcW w:w="551" w:type="dxa"/>
            <w:tcBorders>
              <w:bottom w:val="single" w:sz="2" w:space="0" w:color="000000"/>
              <w:right w:val="single" w:sz="2" w:space="0" w:color="000000"/>
            </w:tcBorders>
            <w:tcMar>
              <w:top w:w="0" w:type="dxa"/>
              <w:left w:w="0" w:type="dxa"/>
            </w:tcMar>
          </w:tcPr>
          <w:p>
            <w:pPr>
              <w:pStyle w:val="Sadrajitablice"/>
              <w:widowControl w:val="false"/>
              <w:rPr>
                <w:rFonts w:ascii="Arial" w:hAnsi="Arial"/>
                <w:color w:val="000000"/>
              </w:rPr>
            </w:pPr>
            <w:r>
              <w:rPr>
                <w:rFonts w:ascii="Arial" w:hAnsi="Arial"/>
                <w:color w:val="000000"/>
              </w:rPr>
            </w:r>
          </w:p>
        </w:tc>
        <w:tc>
          <w:tcPr>
            <w:tcW w:w="2937"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Vlastiti izvori</w:t>
            </w:r>
          </w:p>
        </w:tc>
        <w:tc>
          <w:tcPr>
            <w:tcW w:w="175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107.000,00</w:t>
            </w:r>
          </w:p>
        </w:tc>
        <w:tc>
          <w:tcPr>
            <w:tcW w:w="170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116.855,09</w:t>
            </w:r>
          </w:p>
        </w:tc>
        <w:tc>
          <w:tcPr>
            <w:tcW w:w="17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223.855,09</w:t>
            </w:r>
          </w:p>
        </w:tc>
        <w:tc>
          <w:tcPr>
            <w:tcW w:w="80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209,21</w:t>
            </w:r>
          </w:p>
        </w:tc>
        <w:tc>
          <w:tcPr>
            <w:tcW w:w="804"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191,57</w:t>
            </w:r>
          </w:p>
        </w:tc>
      </w:tr>
      <w:tr>
        <w:trPr>
          <w:trHeight w:val="416" w:hRule="atLeast"/>
        </w:trPr>
        <w:tc>
          <w:tcPr>
            <w:tcW w:w="640"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92</w:t>
            </w:r>
          </w:p>
        </w:tc>
        <w:tc>
          <w:tcPr>
            <w:tcW w:w="551" w:type="dxa"/>
            <w:tcBorders>
              <w:bottom w:val="single" w:sz="2" w:space="0" w:color="000000"/>
              <w:right w:val="single" w:sz="2" w:space="0" w:color="000000"/>
            </w:tcBorders>
            <w:tcMar>
              <w:top w:w="0" w:type="dxa"/>
              <w:left w:w="0" w:type="dxa"/>
            </w:tcMar>
          </w:tcPr>
          <w:p>
            <w:pPr>
              <w:pStyle w:val="Sadrajitablice"/>
              <w:widowControl w:val="false"/>
              <w:rPr>
                <w:rFonts w:ascii="Arial" w:hAnsi="Arial"/>
                <w:color w:val="000000"/>
              </w:rPr>
            </w:pPr>
            <w:r>
              <w:rPr>
                <w:rFonts w:ascii="Arial" w:hAnsi="Arial"/>
                <w:color w:val="000000"/>
              </w:rPr>
            </w:r>
          </w:p>
        </w:tc>
        <w:tc>
          <w:tcPr>
            <w:tcW w:w="2937"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Rezultat poslovanja</w:t>
            </w:r>
          </w:p>
        </w:tc>
        <w:tc>
          <w:tcPr>
            <w:tcW w:w="175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107.000,00</w:t>
            </w:r>
          </w:p>
        </w:tc>
        <w:tc>
          <w:tcPr>
            <w:tcW w:w="170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116.855,09</w:t>
            </w:r>
          </w:p>
        </w:tc>
        <w:tc>
          <w:tcPr>
            <w:tcW w:w="17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223.855,09</w:t>
            </w:r>
          </w:p>
        </w:tc>
        <w:tc>
          <w:tcPr>
            <w:tcW w:w="80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209,21</w:t>
            </w:r>
          </w:p>
        </w:tc>
        <w:tc>
          <w:tcPr>
            <w:tcW w:w="804"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191,57</w:t>
            </w:r>
          </w:p>
        </w:tc>
      </w:tr>
      <w:tr>
        <w:trPr>
          <w:trHeight w:val="416" w:hRule="atLeast"/>
        </w:trPr>
        <w:tc>
          <w:tcPr>
            <w:tcW w:w="640" w:type="dxa"/>
            <w:tcBorders>
              <w:left w:val="single" w:sz="2" w:space="0" w:color="000000"/>
              <w:bottom w:val="single" w:sz="2" w:space="0" w:color="000000"/>
              <w:right w:val="single" w:sz="2" w:space="0" w:color="000000"/>
            </w:tcBorders>
            <w:tcMar>
              <w:top w:w="0" w:type="dxa"/>
            </w:tcMar>
          </w:tcPr>
          <w:p>
            <w:pPr>
              <w:pStyle w:val="Sadrajitablice"/>
              <w:widowControl w:val="false"/>
              <w:rPr>
                <w:rFonts w:ascii="Arial" w:hAnsi="Arial"/>
                <w:color w:val="000000"/>
              </w:rPr>
            </w:pPr>
            <w:r>
              <w:rPr>
                <w:rFonts w:ascii="Arial" w:hAnsi="Arial"/>
                <w:color w:val="000000"/>
              </w:rPr>
            </w:r>
          </w:p>
        </w:tc>
        <w:tc>
          <w:tcPr>
            <w:tcW w:w="551"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11</w:t>
            </w:r>
          </w:p>
        </w:tc>
        <w:tc>
          <w:tcPr>
            <w:tcW w:w="2937"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75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107.000,00</w:t>
            </w:r>
          </w:p>
        </w:tc>
        <w:tc>
          <w:tcPr>
            <w:tcW w:w="170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7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107.000,00</w:t>
            </w:r>
          </w:p>
        </w:tc>
        <w:tc>
          <w:tcPr>
            <w:tcW w:w="80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w:t>
            </w:r>
          </w:p>
        </w:tc>
        <w:tc>
          <w:tcPr>
            <w:tcW w:w="804"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r>
      <w:tr>
        <w:trPr>
          <w:trHeight w:val="416" w:hRule="atLeast"/>
        </w:trPr>
        <w:tc>
          <w:tcPr>
            <w:tcW w:w="640" w:type="dxa"/>
            <w:tcBorders>
              <w:left w:val="single" w:sz="2" w:space="0" w:color="000000"/>
              <w:bottom w:val="single" w:sz="2" w:space="0" w:color="000000"/>
              <w:right w:val="single" w:sz="2" w:space="0" w:color="000000"/>
            </w:tcBorders>
            <w:tcMar>
              <w:top w:w="0" w:type="dxa"/>
            </w:tcMar>
          </w:tcPr>
          <w:p>
            <w:pPr>
              <w:pStyle w:val="Sadrajitablice"/>
              <w:widowControl w:val="false"/>
              <w:rPr>
                <w:rFonts w:ascii="Arial" w:hAnsi="Arial"/>
                <w:color w:val="000000"/>
              </w:rPr>
            </w:pPr>
            <w:r>
              <w:rPr>
                <w:rFonts w:ascii="Arial" w:hAnsi="Arial"/>
                <w:color w:val="000000"/>
              </w:rPr>
            </w:r>
          </w:p>
        </w:tc>
        <w:tc>
          <w:tcPr>
            <w:tcW w:w="551"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52</w:t>
            </w:r>
          </w:p>
        </w:tc>
        <w:tc>
          <w:tcPr>
            <w:tcW w:w="2937"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Ostale pomoći</w:t>
            </w:r>
          </w:p>
        </w:tc>
        <w:tc>
          <w:tcPr>
            <w:tcW w:w="175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70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10.000,00</w:t>
            </w:r>
          </w:p>
        </w:tc>
        <w:tc>
          <w:tcPr>
            <w:tcW w:w="17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10.000,00</w:t>
            </w:r>
          </w:p>
        </w:tc>
        <w:tc>
          <w:tcPr>
            <w:tcW w:w="80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804"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w:t>
            </w:r>
          </w:p>
        </w:tc>
      </w:tr>
      <w:tr>
        <w:trPr>
          <w:trHeight w:val="416" w:hRule="atLeast"/>
        </w:trPr>
        <w:tc>
          <w:tcPr>
            <w:tcW w:w="640" w:type="dxa"/>
            <w:tcBorders>
              <w:left w:val="single" w:sz="2" w:space="0" w:color="000000"/>
              <w:bottom w:val="single" w:sz="2" w:space="0" w:color="000000"/>
              <w:right w:val="single" w:sz="2" w:space="0" w:color="000000"/>
            </w:tcBorders>
            <w:tcMar>
              <w:top w:w="0" w:type="dxa"/>
            </w:tcMar>
          </w:tcPr>
          <w:p>
            <w:pPr>
              <w:pStyle w:val="Sadrajitablice"/>
              <w:widowControl w:val="false"/>
              <w:rPr>
                <w:rFonts w:ascii="Arial" w:hAnsi="Arial"/>
                <w:color w:val="000000"/>
              </w:rPr>
            </w:pPr>
            <w:r>
              <w:rPr>
                <w:rFonts w:ascii="Arial" w:hAnsi="Arial"/>
                <w:color w:val="000000"/>
              </w:rPr>
            </w:r>
          </w:p>
        </w:tc>
        <w:tc>
          <w:tcPr>
            <w:tcW w:w="551"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61</w:t>
            </w:r>
          </w:p>
        </w:tc>
        <w:tc>
          <w:tcPr>
            <w:tcW w:w="2937"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Donacije</w:t>
            </w:r>
          </w:p>
        </w:tc>
        <w:tc>
          <w:tcPr>
            <w:tcW w:w="1750"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70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106.855,09</w:t>
            </w:r>
          </w:p>
        </w:tc>
        <w:tc>
          <w:tcPr>
            <w:tcW w:w="173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106.855,09</w:t>
            </w:r>
          </w:p>
        </w:tc>
        <w:tc>
          <w:tcPr>
            <w:tcW w:w="80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804"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w:t>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t>II. POSEBNI DIO</w:t>
      </w:r>
    </w:p>
    <w:p>
      <w:pPr>
        <w:pStyle w:val="Normal"/>
        <w:jc w:val="center"/>
        <w:rPr>
          <w:rFonts w:ascii="Times New Roman" w:hAnsi="Times New Roman"/>
        </w:rPr>
      </w:pPr>
      <w:r>
        <w:rPr>
          <w:rFonts w:ascii="Times New Roman" w:hAnsi="Times New Roman"/>
        </w:rPr>
        <w:t>ORGANIZACIJSKA KLASIFIKACIJA</w:t>
      </w:r>
    </w:p>
    <w:tbl>
      <w:tblPr>
        <w:tblW w:w="10750" w:type="dxa"/>
        <w:jc w:val="left"/>
        <w:tblInd w:w="28" w:type="dxa"/>
        <w:tblLayout w:type="fixed"/>
        <w:tblCellMar>
          <w:top w:w="28" w:type="dxa"/>
          <w:left w:w="28" w:type="dxa"/>
          <w:bottom w:w="28" w:type="dxa"/>
          <w:right w:w="28" w:type="dxa"/>
        </w:tblCellMar>
      </w:tblPr>
      <w:tblGrid>
        <w:gridCol w:w="2275"/>
        <w:gridCol w:w="3896"/>
        <w:gridCol w:w="1527"/>
        <w:gridCol w:w="1525"/>
        <w:gridCol w:w="1527"/>
      </w:tblGrid>
      <w:tr>
        <w:trPr>
          <w:trHeight w:val="611" w:hRule="atLeast"/>
        </w:trPr>
        <w:tc>
          <w:tcPr>
            <w:tcW w:w="2275"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Šifra</w:t>
            </w:r>
          </w:p>
        </w:tc>
        <w:tc>
          <w:tcPr>
            <w:tcW w:w="389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152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525"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 / smanjenje</w:t>
            </w:r>
          </w:p>
        </w:tc>
        <w:tc>
          <w:tcPr>
            <w:tcW w:w="152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29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rPr>
                <w:rFonts w:ascii="Arial" w:hAnsi="Arial"/>
                <w:b/>
                <w:b/>
                <w:color w:val="000000"/>
                <w:sz w:val="14"/>
              </w:rPr>
            </w:pPr>
            <w:r>
              <w:rPr>
                <w:rFonts w:ascii="Arial" w:hAnsi="Arial"/>
                <w:b/>
                <w:color w:val="000000"/>
                <w:sz w:val="14"/>
              </w:rPr>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UKUPNO:</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1.425.190,00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109.123,09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1.534.313,09</w:t>
            </w:r>
          </w:p>
        </w:tc>
      </w:tr>
      <w:tr>
        <w:trPr>
          <w:trHeight w:val="71" w:hRule="atLeast"/>
        </w:trPr>
        <w:tc>
          <w:tcPr>
            <w:tcW w:w="2275" w:type="dxa"/>
            <w:tcBorders/>
            <w:vAlign w:val="center"/>
          </w:tcPr>
          <w:p>
            <w:pPr>
              <w:pStyle w:val="Sadrajitablice"/>
              <w:widowControl w:val="false"/>
              <w:rPr>
                <w:color w:val="000000"/>
              </w:rPr>
            </w:pPr>
            <w:r>
              <w:rPr>
                <w:color w:val="000000"/>
              </w:rPr>
            </w:r>
          </w:p>
        </w:tc>
        <w:tc>
          <w:tcPr>
            <w:tcW w:w="3896" w:type="dxa"/>
            <w:tcBorders/>
            <w:vAlign w:val="center"/>
          </w:tcPr>
          <w:p>
            <w:pPr>
              <w:pStyle w:val="Sadrajitablice"/>
              <w:widowControl w:val="false"/>
              <w:rPr>
                <w:color w:val="000000"/>
              </w:rPr>
            </w:pPr>
            <w:r>
              <w:rPr>
                <w:color w:val="000000"/>
              </w:rPr>
            </w:r>
          </w:p>
        </w:tc>
        <w:tc>
          <w:tcPr>
            <w:tcW w:w="1527" w:type="dxa"/>
            <w:tcBorders/>
            <w:vAlign w:val="center"/>
          </w:tcPr>
          <w:p>
            <w:pPr>
              <w:pStyle w:val="Sadrajitablice"/>
              <w:widowControl w:val="false"/>
              <w:rPr>
                <w:color w:val="000000"/>
              </w:rPr>
            </w:pPr>
            <w:r>
              <w:rPr>
                <w:color w:val="000000"/>
              </w:rPr>
            </w:r>
          </w:p>
        </w:tc>
        <w:tc>
          <w:tcPr>
            <w:tcW w:w="1525" w:type="dxa"/>
            <w:tcBorders/>
            <w:vAlign w:val="center"/>
          </w:tcPr>
          <w:p>
            <w:pPr>
              <w:pStyle w:val="Sadrajitablice"/>
              <w:widowControl w:val="false"/>
              <w:rPr>
                <w:color w:val="000000"/>
              </w:rPr>
            </w:pPr>
            <w:r>
              <w:rPr>
                <w:color w:val="000000"/>
              </w:rPr>
            </w:r>
          </w:p>
        </w:tc>
        <w:tc>
          <w:tcPr>
            <w:tcW w:w="1527" w:type="dxa"/>
            <w:tcBorders/>
            <w:vAlign w:val="center"/>
          </w:tcPr>
          <w:p>
            <w:pPr>
              <w:pStyle w:val="Sadrajitablice"/>
              <w:widowControl w:val="false"/>
              <w:rPr>
                <w:color w:val="000000"/>
              </w:rPr>
            </w:pPr>
            <w:r>
              <w:rPr>
                <w:color w:val="000000"/>
              </w:rPr>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RAZDJEL 001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OPĆINSKO VIJEĆE I OPĆINSKI NAČELNIK I TIJELA SAMOUPRAVE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1.425.190,00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109.123,09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1.534.313,09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GLAVA 00101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OPĆINSKO VIJEĆE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18.300,00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15.800,00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GLAVA 00102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JEDINSTVENI UPRAVNI ODJEL</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1.406.890,00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111.623,09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1.518.513,09</w:t>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t>II. POSEBNI DIO</w:t>
      </w:r>
    </w:p>
    <w:p>
      <w:pPr>
        <w:pStyle w:val="Normal"/>
        <w:jc w:val="center"/>
        <w:rPr>
          <w:rFonts w:ascii="Times New Roman" w:hAnsi="Times New Roman"/>
        </w:rPr>
      </w:pPr>
      <w:r>
        <w:rPr>
          <w:rFonts w:ascii="Times New Roman" w:hAnsi="Times New Roman"/>
        </w:rPr>
        <w:t>PROGRAMSKA KLASIFIKACIJA</w:t>
      </w:r>
    </w:p>
    <w:tbl>
      <w:tblPr>
        <w:tblW w:w="10750" w:type="dxa"/>
        <w:jc w:val="left"/>
        <w:tblInd w:w="28" w:type="dxa"/>
        <w:tblLayout w:type="fixed"/>
        <w:tblCellMar>
          <w:top w:w="28" w:type="dxa"/>
          <w:left w:w="28" w:type="dxa"/>
          <w:bottom w:w="28" w:type="dxa"/>
          <w:right w:w="28" w:type="dxa"/>
        </w:tblCellMar>
      </w:tblPr>
      <w:tblGrid>
        <w:gridCol w:w="2275"/>
        <w:gridCol w:w="3896"/>
        <w:gridCol w:w="1527"/>
        <w:gridCol w:w="1525"/>
        <w:gridCol w:w="1527"/>
      </w:tblGrid>
      <w:tr>
        <w:trPr>
          <w:trHeight w:val="611" w:hRule="atLeast"/>
        </w:trPr>
        <w:tc>
          <w:tcPr>
            <w:tcW w:w="2275" w:type="dxa"/>
            <w:tcBorders>
              <w:top w:val="single" w:sz="2" w:space="0" w:color="000000"/>
              <w:left w:val="single" w:sz="2" w:space="0" w:color="000000"/>
              <w:bottom w:val="single" w:sz="2" w:space="0" w:color="000000"/>
              <w:right w:val="single" w:sz="2" w:space="0" w:color="000000"/>
            </w:tcBorders>
            <w:shd w:fill="DCDCDC" w:val="clear"/>
            <w:vAlign w:val="center"/>
          </w:tcPr>
          <w:p>
            <w:pPr>
              <w:pStyle w:val="Sadrajitablice"/>
              <w:widowControl w:val="false"/>
              <w:jc w:val="center"/>
              <w:rPr>
                <w:rFonts w:ascii="Arial" w:hAnsi="Arial"/>
                <w:b/>
                <w:b/>
                <w:color w:val="000000"/>
                <w:sz w:val="14"/>
              </w:rPr>
            </w:pPr>
            <w:r>
              <w:rPr>
                <w:rFonts w:ascii="Arial" w:hAnsi="Arial"/>
                <w:b/>
                <w:color w:val="000000"/>
                <w:sz w:val="14"/>
              </w:rPr>
              <w:t>Šifra</w:t>
            </w:r>
          </w:p>
        </w:tc>
        <w:tc>
          <w:tcPr>
            <w:tcW w:w="3896"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Naziv</w:t>
            </w:r>
          </w:p>
        </w:tc>
        <w:tc>
          <w:tcPr>
            <w:tcW w:w="152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Plan 2026.</w:t>
            </w:r>
          </w:p>
        </w:tc>
        <w:tc>
          <w:tcPr>
            <w:tcW w:w="1525"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Povećanje / smanjenje</w:t>
            </w:r>
          </w:p>
        </w:tc>
        <w:tc>
          <w:tcPr>
            <w:tcW w:w="1527" w:type="dxa"/>
            <w:tcBorders>
              <w:top w:val="single" w:sz="2" w:space="0" w:color="000000"/>
              <w:bottom w:val="single" w:sz="2" w:space="0" w:color="000000"/>
              <w:right w:val="single" w:sz="2" w:space="0" w:color="000000"/>
            </w:tcBorders>
            <w:shd w:fill="DCDCDC" w:val="clear"/>
            <w:tcMar>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Novi plan 2026.</w:t>
            </w:r>
          </w:p>
        </w:tc>
      </w:tr>
      <w:tr>
        <w:trPr>
          <w:trHeight w:val="29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2</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3</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4</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center"/>
              <w:rPr>
                <w:rFonts w:ascii="Arial" w:hAnsi="Arial"/>
                <w:b/>
                <w:b/>
                <w:color w:val="000000"/>
                <w:sz w:val="14"/>
              </w:rPr>
            </w:pPr>
            <w:r>
              <w:rPr>
                <w:rFonts w:ascii="Arial" w:hAnsi="Arial"/>
                <w:b/>
                <w:color w:val="000000"/>
                <w:sz w:val="14"/>
              </w:rPr>
              <w:t>5</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RAZDJEL 001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OPĆINSKO VIJEĆE I OPĆINSKI NAČELNIK I TIJELA SAMOUPRAVE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1.425.190,00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109.123,09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1.534.313,09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GLAVA 00101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OPĆINSKO VIJEĆE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18.300,00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15.800,00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18.300,00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15.800,00</w:t>
            </w:r>
          </w:p>
        </w:tc>
      </w:tr>
      <w:tr>
        <w:trPr>
          <w:trHeight w:val="65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DONOŠENJE AKATA I MJERA IZ DJELOKRUGA PREDSTAVNIČKOG, IZVRŠNOG TIJELA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18.300,00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15.800,00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A100101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REDOVNI RAD OPĆINSKOG VIJEĆA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12.300,00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9.800,00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12.300,00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9.800,00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12.300,00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9.800,00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12.300,00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9.800,00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A100102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POTPORA RADU POLITIČKIH STRANAKA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6.000,00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GLAVA 00102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JEDINSTVENI UPRAVNI ODJEL</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1.406.890,00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111.623,09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1.518.513,09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587.150,00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589.650,00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43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Ostali prihodi za posebne namjene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27.290,00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27.290,00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50</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Pomoći iz državnog proračuna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Ostale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41.450,00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51.450,00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561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Europski socijalni fond plus</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260.000,00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42.000,00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302.000,00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563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Europski fond za regionalni razvoj</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86.000,00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268,00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86.268,00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61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Donacije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106.855,09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406.855,09</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DONOŠENJE I PROVEDBA AKATA I MJERA IZ DJELOKRUGA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421.810,00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17.464,09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439.274,09</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A100201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ADMINISTRATIVNO, TEHNIČKO I STRUČNO OSOBLJE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392.880,00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19.464,09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412.344,09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334.140,00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19.464,09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353.604,09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334.140,00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19.464,09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353.604,09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zaposlene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146.730,00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147.030,00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187.410,00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19.164,09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206.574,09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43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Ostali prihodi za posebne namjene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7.290,00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7.290,00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7.290,00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7.290,00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7.290,00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7.290,00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50</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Pomoći iz državnog proračuna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Ostale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21.450,00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21.450,00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21.450,00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21.450,00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zaposlene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20.970,00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20.970,00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480,00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480,00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A100202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BANKARSKE USLUGE I USLUGE PLATNOG PROMETA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4.930,00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4.930,00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4.930,00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4.930,00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4.930,00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Financijski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4.930,00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Kapitalni projekt K100201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NABAVA DUGOTRAJNE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24.000,00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22.000,00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9.000,00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7.000,00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7.000,00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proizvedene dugotrajne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50</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Pomoći iz državnog proračuna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proizvedene dugotrajne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PROTUPOŽARNA I CIVILNA ZAŠTITA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7.980,00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1.991,00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9.971,00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A100301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PROTUPOŽARNA ZAŠTITA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6.650,00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1.991,00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8.641,00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6.650,00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1.991,00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8.641,00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6.650,00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1.991,00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8.641,00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6.650,00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1.991,00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8.641,00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A100302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CIVILNA ZAŠTITA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1.330,00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1.330,00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1.330,00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1.330,00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1.330,00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1.330,00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JAVNE POTREBE U OBRAZOVANJU OPĆINE NEGOSLAVCI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31.550,00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38.050,00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A100401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PREDŠKOLA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15.550,00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15.550,00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15.550,00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15.550,00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15.550,00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15.550,00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36</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Pomoći dane u inozemstvo i unutar općeg proračuna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10.000,00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37</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Naknade građanima i kućanstvima na temelju osiguranja i druge naknade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5.550,00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5.550,00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A100402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SUFINAN.JAVNOG PRIJEVOZA SREDNJEŠK.UČENIKA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37</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Naknade građanima i kućanstvima na temelju osiguranja i druge naknade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A100403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OSNOVNO ŠKOLSTVO</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11.000,00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17.500,00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11.000,00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17.500,00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11.000,00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17.500,00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36</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Pomoći dane u inozemstvo i unutar općeg proračuna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-8.500,00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37</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Naknade građanima i kućanstvima na temelju osiguranja i druge naknade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17.500,00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1005</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ODRŽAVANJE OBJEKATA I UREĐAJA KOM. INFRASTRUKTURE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478.000,00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-45.300,00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432.700,00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Kapitalni projekt K100501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ODRŽAVANJE KOMUNALNE INFRASTRUKTURE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478.000,00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-45.300,00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432.700,00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7.000,00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43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Ostali prihodi za posebne namjene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45</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dodatna ulaganja na nefinancijskoj imovini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50</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Pomoći iz državnog proračuna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-50.000,00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10.000,00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45</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dodatna ulaganja na nefinancijskoj imovini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-50.000,00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Ostale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10.000,00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45</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dodatna ulaganja na nefinancijskoj imovini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561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Europski socijalni fond plus</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26.544,91</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26.544,91</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26.544,91</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26.544,91</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45</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dodatna ulaganja na nefinancijskoj imovini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26.544,91</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26.544,91</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563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Europski fond za regionalni razvoj</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86.000,00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-86.000,00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45</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dodatna ulaganja na nefinancijskoj imovini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61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Donacije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59.155,09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359.155,09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59.155,09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359.155,09</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45</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dodatna ulaganja na nefinancijskoj imovini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59.155,09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359.155,09</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1006</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IZGRADNJA OBJEKATA KOMUNALNE INFRASTRUKTURE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133.968,00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133.968,00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Kapitalni projekt K100601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IZGRADNJA TRIBINA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133.968,00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133.968,00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563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Europski fond za regionalni razvoj</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86.268,00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86.268,00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86.268,00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86.268,00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proizvedene dugotrajne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86.268,00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86.268,00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61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Donacije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47.700,00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47.700,00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nefinancijske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47.700,00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47.700,00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42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nabavu proizvedene dugotrajne imovine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47.700,00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47.700,00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1007</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JAVNIH POTREBA U SO. SKRBI OPĆINE NEG.</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38.300,00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38.300,00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A100701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POMOĆ U NOVCU POJEDINCIMA I OBITELJIMA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37.000,00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37.000,00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37.000,00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-15.455,09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21.544,91</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37.000,00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-15.455,09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21.544,91</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37</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Naknade građanima i kućanstvima na temelju osiguranja i druge naknade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37.000,00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-15.455,09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21.544,91</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561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Europski socijalni fond plus</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15.455,09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15.455,09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15.455,09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15.455,09</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37</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Naknade građanima i kućanstvima na temelju osiguranja i druge naknade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15.455,09</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15.455,09</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A100703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CRVENI KRIŽ</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1.300,00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1.300,00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1.300,00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JAVNIH POTREBA U KULTURI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54.750,00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51.750,00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A100801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VJERSKE ZAJEDNICE - POMOĆ U RADU</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7.700,00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4.700,00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7.700,00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4.700,00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7.700,00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4.700,00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7.700,00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4.700,00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A100803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KULTURNE MANIFESTACIJE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9.500,00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9.500,00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9.500,00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9.500,00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A100805</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UDRUGE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37.550,00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37.550,00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37.550,00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37.550,00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37.550,00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37.550,00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36</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Pomoći dane u inozemstvo i unutar općeg proračuna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1.050,00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1.050,00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36.500,00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36.500,00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1009</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JAVNE POTREBE U ŠPORTU</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69.500,00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A100901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TEKUĆE DONACIJE SPORTSKIM UDRUGAMA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69.500,00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69.500,00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69.500,00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69.500,00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69.500,00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1010</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DEMOGRAFSKE MJERE OPĆINE NEGOSLAVCI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45.000,00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A101001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DEMOGRAFSKE MJERE OPĆINE NEGOSLAVCI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45.000,00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Opći prihodi i primici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30.000,00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37</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Naknade građanima i kućanstvima na temelju osiguranja i druge naknade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30.000,00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43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Ostali prihodi za posebne namjene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15.000,00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r>
      <w:tr>
        <w:trPr>
          <w:trHeight w:val="461"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38</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donacije, kazne, naknade šteta i kapitalne pomoći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15.000,00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1011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PROGRAM "ZAŽELI"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260.000,00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260.000,00</w:t>
            </w:r>
          </w:p>
        </w:tc>
      </w:tr>
      <w:tr>
        <w:trPr>
          <w:trHeight w:val="47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Aktivnost A101101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b/>
                <w:b/>
                <w:color w:val="000000"/>
                <w:sz w:val="14"/>
              </w:rPr>
            </w:pPr>
            <w:r>
              <w:rPr>
                <w:rFonts w:ascii="Arial" w:hAnsi="Arial"/>
                <w:b/>
                <w:color w:val="000000"/>
                <w:sz w:val="14"/>
              </w:rPr>
              <w:t>ADMINISTRATIVNO, TEHNIČKO I STRUČNO OSOBLJE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260.000,00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b/>
                <w:b/>
                <w:color w:val="000000"/>
                <w:sz w:val="14"/>
              </w:rPr>
            </w:pPr>
            <w:r>
              <w:rPr>
                <w:rFonts w:ascii="Arial" w:hAnsi="Arial"/>
                <w:b/>
                <w:color w:val="000000"/>
                <w:sz w:val="14"/>
              </w:rPr>
              <w:t>260.000,00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i/>
                <w:i/>
                <w:color w:val="000000"/>
                <w:sz w:val="14"/>
              </w:rPr>
            </w:pPr>
            <w:r>
              <w:rPr>
                <w:rFonts w:ascii="Arial" w:hAnsi="Arial"/>
                <w:i/>
                <w:color w:val="000000"/>
                <w:sz w:val="14"/>
              </w:rPr>
              <w:t>Izvor financiranja 561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i/>
                <w:i/>
                <w:color w:val="000000"/>
                <w:sz w:val="14"/>
              </w:rPr>
            </w:pPr>
            <w:r>
              <w:rPr>
                <w:rFonts w:ascii="Arial" w:hAnsi="Arial"/>
                <w:i/>
                <w:color w:val="000000"/>
                <w:sz w:val="14"/>
              </w:rPr>
              <w:t>Europski socijalni fond plus</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260.000,00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i/>
                <w:i/>
                <w:color w:val="000000"/>
                <w:sz w:val="14"/>
              </w:rPr>
            </w:pPr>
            <w:r>
              <w:rPr>
                <w:rFonts w:ascii="Arial" w:hAnsi="Arial"/>
                <w:i/>
                <w:color w:val="000000"/>
                <w:sz w:val="14"/>
              </w:rPr>
              <w:t>260.000,00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poslovanja</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260.000,00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260.000,00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31</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Rashodi za zaposlene</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205.000,00</w:t>
            </w:r>
          </w:p>
        </w:tc>
      </w:tr>
      <w:tr>
        <w:trPr>
          <w:trHeight w:val="416" w:hRule="atLeast"/>
        </w:trPr>
        <w:tc>
          <w:tcPr>
            <w:tcW w:w="2275" w:type="dxa"/>
            <w:tcBorders>
              <w:left w:val="single" w:sz="2" w:space="0" w:color="000000"/>
              <w:bottom w:val="single" w:sz="2" w:space="0" w:color="000000"/>
              <w:right w:val="single" w:sz="2" w:space="0" w:color="000000"/>
            </w:tcBorders>
            <w:tcMar>
              <w:top w:w="0" w:type="dxa"/>
            </w:tcMar>
            <w:vAlign w:val="center"/>
          </w:tcPr>
          <w:p>
            <w:pPr>
              <w:pStyle w:val="Sadrajitablice"/>
              <w:widowControl w:val="false"/>
              <w:jc w:val="left"/>
              <w:rPr>
                <w:rFonts w:ascii="Arial" w:hAnsi="Arial"/>
                <w:color w:val="000000"/>
                <w:sz w:val="14"/>
              </w:rPr>
            </w:pPr>
            <w:r>
              <w:rPr>
                <w:rFonts w:ascii="Arial" w:hAnsi="Arial"/>
                <w:color w:val="000000"/>
                <w:sz w:val="14"/>
              </w:rPr>
              <w:t>32</w:t>
            </w:r>
          </w:p>
        </w:tc>
        <w:tc>
          <w:tcPr>
            <w:tcW w:w="3896" w:type="dxa"/>
            <w:tcBorders>
              <w:bottom w:val="single" w:sz="2" w:space="0" w:color="000000"/>
              <w:right w:val="single" w:sz="2" w:space="0" w:color="000000"/>
            </w:tcBorders>
            <w:tcMar>
              <w:top w:w="0" w:type="dxa"/>
              <w:left w:w="0" w:type="dxa"/>
            </w:tcMar>
            <w:vAlign w:val="center"/>
          </w:tcPr>
          <w:p>
            <w:pPr>
              <w:pStyle w:val="Sadrajitablice"/>
              <w:widowControl w:val="false"/>
              <w:jc w:val="left"/>
              <w:rPr>
                <w:rFonts w:ascii="Arial" w:hAnsi="Arial"/>
                <w:color w:val="000000"/>
                <w:sz w:val="14"/>
              </w:rPr>
            </w:pPr>
            <w:r>
              <w:rPr>
                <w:rFonts w:ascii="Arial" w:hAnsi="Arial"/>
                <w:color w:val="000000"/>
                <w:sz w:val="14"/>
              </w:rPr>
              <w:t>Materijalni rashodi</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55.000,00</w:t>
            </w:r>
          </w:p>
        </w:tc>
        <w:tc>
          <w:tcPr>
            <w:tcW w:w="1525"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0,00</w:t>
            </w:r>
          </w:p>
        </w:tc>
        <w:tc>
          <w:tcPr>
            <w:tcW w:w="1527" w:type="dxa"/>
            <w:tcBorders>
              <w:bottom w:val="single" w:sz="2" w:space="0" w:color="000000"/>
              <w:right w:val="single" w:sz="2" w:space="0" w:color="000000"/>
            </w:tcBorders>
            <w:tcMar>
              <w:top w:w="0" w:type="dxa"/>
              <w:left w:w="0" w:type="dxa"/>
            </w:tcMar>
            <w:vAlign w:val="center"/>
          </w:tcPr>
          <w:p>
            <w:pPr>
              <w:pStyle w:val="Sadrajitablice"/>
              <w:widowControl w:val="false"/>
              <w:jc w:val="right"/>
              <w:rPr>
                <w:rFonts w:ascii="Arial" w:hAnsi="Arial"/>
                <w:color w:val="000000"/>
                <w:sz w:val="14"/>
              </w:rPr>
            </w:pPr>
            <w:r>
              <w:rPr>
                <w:rFonts w:ascii="Arial" w:hAnsi="Arial"/>
                <w:color w:val="000000"/>
                <w:sz w:val="14"/>
              </w:rPr>
              <w:t>55.000,00</w:t>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b/>
          <w:b/>
          <w:bCs/>
        </w:rPr>
      </w:pPr>
      <w:r>
        <w:rPr>
          <w:rFonts w:ascii="Times New Roman" w:hAnsi="Times New Roman"/>
          <w:b/>
          <w:bCs/>
        </w:rPr>
        <w:t>PREDJEDNIK OPĆINSKOG VIJEĆA:</w:t>
      </w:r>
    </w:p>
    <w:p>
      <w:pPr>
        <w:pStyle w:val="Normal"/>
        <w:jc w:val="center"/>
        <w:rPr>
          <w:rFonts w:ascii="Times New Roman" w:hAnsi="Times New Roman"/>
        </w:rPr>
      </w:pPr>
      <w:r>
        <w:rPr>
          <w:rFonts w:ascii="Times New Roman" w:hAnsi="Times New Roman"/>
        </w:rPr>
        <w:t>Miodrag Mišanović</w:t>
      </w:r>
    </w:p>
    <w:p>
      <w:pPr>
        <w:pStyle w:val="Normal"/>
        <w:jc w:val="center"/>
        <w:rPr>
          <w:rFonts w:ascii="Times New Roman" w:hAnsi="Times New Roman"/>
        </w:rPr>
      </w:pPr>
      <w:r>
        <w:rPr>
          <w:rFonts w:ascii="Times New Roman" w:hAnsi="Times New Roman"/>
        </w:rPr>
        <w:drawing>
          <wp:inline distT="0" distB="0" distL="0" distR="0">
            <wp:extent cx="5761355" cy="36830"/>
            <wp:effectExtent l="0" t="0" r="0" b="0"/>
            <wp:docPr id="3" name="Slika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7" descr=""/>
                    <pic:cNvPicPr>
                      <a:picLocks noChangeAspect="1" noChangeArrowheads="1"/>
                    </pic:cNvPicPr>
                  </pic:nvPicPr>
                  <pic:blipFill>
                    <a:blip r:embed="rId7"/>
                    <a:stretch>
                      <a:fillRect/>
                    </a:stretch>
                  </pic:blipFill>
                  <pic:spPr bwMode="auto">
                    <a:xfrm>
                      <a:off x="0" y="0"/>
                      <a:ext cx="5761355" cy="36830"/>
                    </a:xfrm>
                    <a:prstGeom prst="rect">
                      <a:avLst/>
                    </a:prstGeom>
                  </pic:spPr>
                </pic:pic>
              </a:graphicData>
            </a:graphic>
          </wp:inline>
        </w:drawing>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sectPr>
          <w:headerReference w:type="even" r:id="rId8"/>
          <w:headerReference w:type="default" r:id="rId9"/>
          <w:type w:val="nextPage"/>
          <w:pgSz w:orient="landscape" w:w="16838" w:h="11906"/>
          <w:pgMar w:left="1134" w:right="1134" w:gutter="0" w:header="0" w:top="1134" w:footer="0" w:bottom="1134"/>
          <w:pgNumType w:fmt="decimal"/>
          <w:formProt w:val="false"/>
          <w:textDirection w:val="lrTb"/>
          <w:docGrid w:type="default" w:linePitch="100" w:charSpace="0"/>
        </w:sectPr>
        <w:pStyle w:val="Normal"/>
        <w:jc w:val="both"/>
        <w:rPr>
          <w:rFonts w:ascii="Times New Roman" w:hAnsi="Times New Roman"/>
        </w:rPr>
      </w:pPr>
      <w:r>
        <w:rPr>
          <w:rFonts w:ascii="Times New Roman" w:hAnsi="Times New Roman"/>
        </w:rPr>
      </w:r>
    </w:p>
    <w:p>
      <w:pPr>
        <w:pStyle w:val="Normal"/>
        <w:spacing w:lineRule="auto" w:line="240" w:before="0" w:after="0"/>
        <w:ind w:left="0" w:hanging="0"/>
        <w:jc w:val="left"/>
        <w:rPr>
          <w:sz w:val="24"/>
          <w:szCs w:val="24"/>
        </w:rPr>
      </w:pPr>
      <w:r>
        <w:rPr>
          <w:rFonts w:cs="Times New Roman" w:ascii="Times New Roman" w:hAnsi="Times New Roman"/>
          <w:b/>
          <w:bCs/>
          <w:sz w:val="24"/>
          <w:szCs w:val="24"/>
        </w:rPr>
        <w:t>Općina Negoslavci</w:t>
      </w:r>
    </w:p>
    <w:p>
      <w:pPr>
        <w:pStyle w:val="Normal"/>
        <w:spacing w:lineRule="auto" w:line="240" w:before="0" w:after="0"/>
        <w:ind w:left="0" w:hanging="0"/>
        <w:jc w:val="left"/>
        <w:rPr>
          <w:sz w:val="24"/>
          <w:szCs w:val="24"/>
        </w:rPr>
      </w:pPr>
      <w:r>
        <w:rPr>
          <w:rFonts w:cs="Times New Roman" w:ascii="Times New Roman" w:hAnsi="Times New Roman"/>
          <w:b/>
          <w:bCs/>
          <w:sz w:val="24"/>
          <w:szCs w:val="24"/>
        </w:rPr>
        <w:t>Općinsko vijeće</w:t>
      </w:r>
    </w:p>
    <w:p>
      <w:pPr>
        <w:pStyle w:val="Normal"/>
        <w:spacing w:before="0" w:after="0"/>
        <w:ind w:left="0" w:hanging="0"/>
        <w:jc w:val="center"/>
        <w:rPr>
          <w:sz w:val="24"/>
          <w:szCs w:val="24"/>
        </w:rPr>
      </w:pPr>
      <w:r>
        <w:rPr>
          <w:rFonts w:cs="Times New Roman" w:ascii="Times New Roman" w:hAnsi="Times New Roman"/>
          <w:b/>
          <w:bCs/>
          <w:sz w:val="24"/>
          <w:szCs w:val="24"/>
        </w:rPr>
        <w:t xml:space="preserve">Obrazloženje  </w:t>
      </w:r>
      <w:r>
        <w:rPr>
          <w:rFonts w:cs="Times New Roman" w:ascii="Times New Roman" w:hAnsi="Times New Roman"/>
          <w:b/>
          <w:bCs/>
          <w:sz w:val="24"/>
          <w:szCs w:val="24"/>
        </w:rPr>
        <w:t>prvih</w:t>
      </w:r>
      <w:r>
        <w:rPr>
          <w:rFonts w:cs="Times New Roman" w:ascii="Times New Roman" w:hAnsi="Times New Roman"/>
          <w:b/>
          <w:bCs/>
          <w:sz w:val="24"/>
          <w:szCs w:val="24"/>
        </w:rPr>
        <w:t xml:space="preserve"> izmjena i dopuna proračuna</w:t>
      </w:r>
    </w:p>
    <w:p>
      <w:pPr>
        <w:pStyle w:val="Normal"/>
        <w:numPr>
          <w:ilvl w:val="0"/>
          <w:numId w:val="0"/>
        </w:numPr>
        <w:spacing w:before="0" w:after="0"/>
        <w:ind w:left="0" w:hanging="0"/>
        <w:jc w:val="center"/>
        <w:outlineLvl w:val="0"/>
        <w:rPr>
          <w:sz w:val="24"/>
          <w:szCs w:val="24"/>
        </w:rPr>
      </w:pPr>
      <w:r>
        <w:rPr>
          <w:rFonts w:cs="Times New Roman" w:ascii="Times New Roman" w:hAnsi="Times New Roman"/>
          <w:b/>
          <w:bCs/>
          <w:sz w:val="24"/>
          <w:szCs w:val="24"/>
        </w:rPr>
        <w:t>Općine Negoslavci za 2026. godinu</w:t>
      </w:r>
    </w:p>
    <w:p>
      <w:pPr>
        <w:pStyle w:val="Stilnaslova1"/>
        <w:numPr>
          <w:ilvl w:val="0"/>
          <w:numId w:val="3"/>
        </w:numPr>
        <w:ind w:left="0" w:hanging="426"/>
        <w:rPr>
          <w:sz w:val="24"/>
          <w:szCs w:val="24"/>
        </w:rPr>
      </w:pPr>
      <w:bookmarkStart w:id="2" w:name="_Toc193725193"/>
      <w:bookmarkStart w:id="3" w:name="_Toc88481282"/>
      <w:bookmarkStart w:id="4" w:name="_Toc88480339"/>
      <w:r>
        <w:rPr>
          <w:rFonts w:ascii="Times New Roman" w:hAnsi="Times New Roman"/>
          <w:sz w:val="24"/>
          <w:szCs w:val="24"/>
        </w:rPr>
        <w:t>UVOD</w:t>
      </w:r>
      <w:bookmarkEnd w:id="2"/>
      <w:bookmarkEnd w:id="3"/>
      <w:bookmarkEnd w:id="4"/>
    </w:p>
    <w:p>
      <w:pPr>
        <w:pStyle w:val="Obinitekst1"/>
        <w:spacing w:lineRule="auto" w:line="240"/>
        <w:ind w:left="0" w:hanging="0"/>
        <w:jc w:val="both"/>
        <w:rPr>
          <w:sz w:val="24"/>
          <w:szCs w:val="24"/>
        </w:rPr>
      </w:pPr>
      <w:r>
        <w:rPr>
          <w:rFonts w:cs="Times New Roman" w:ascii="Times New Roman" w:hAnsi="Times New Roman"/>
          <w:color w:val="auto"/>
          <w:sz w:val="24"/>
          <w:szCs w:val="24"/>
        </w:rPr>
        <w:t>Sukladno članku 45. Zakona o proračunu (NN 144/21) Općina Negoslavci izradila je Prve izmjene i dopune Proračuna za 2026. godinu. Metodologija izrade Prvih izmjena i dopuna Proračuna je istovjetna donošenju Proračuna.</w:t>
      </w:r>
    </w:p>
    <w:p>
      <w:pPr>
        <w:pStyle w:val="Normal"/>
        <w:spacing w:before="0" w:after="143"/>
        <w:ind w:left="0" w:hanging="0"/>
        <w:jc w:val="both"/>
        <w:rPr>
          <w:sz w:val="24"/>
          <w:szCs w:val="24"/>
        </w:rPr>
      </w:pPr>
      <w:r>
        <w:rPr>
          <w:sz w:val="24"/>
          <w:szCs w:val="24"/>
        </w:rPr>
        <w:t xml:space="preserve">Ovim Izmjenama i dopunama Proračun za 2026. </w:t>
      </w:r>
      <w:r>
        <w:rPr>
          <w:bCs/>
          <w:sz w:val="24"/>
          <w:szCs w:val="24"/>
        </w:rPr>
        <w:t>planiraju se prihodi i primici u iznosu od 1.310.458,00</w:t>
      </w:r>
      <w:r>
        <w:rPr>
          <w:bCs/>
          <w:sz w:val="24"/>
          <w:szCs w:val="24"/>
          <w:highlight w:val="yellow"/>
        </w:rPr>
        <w:t xml:space="preserve"> </w:t>
      </w:r>
      <w:r>
        <w:rPr>
          <w:bCs/>
          <w:sz w:val="24"/>
          <w:szCs w:val="24"/>
        </w:rPr>
        <w:t xml:space="preserve">€, rashodi i izdaci u iznosu 1.534.313,09 € te višak prihoda u iznosu 223.855,09 €. </w:t>
      </w:r>
    </w:p>
    <w:tbl>
      <w:tblPr>
        <w:tblW w:w="11071"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57"/>
        <w:gridCol w:w="275"/>
        <w:gridCol w:w="3741"/>
        <w:gridCol w:w="1700"/>
        <w:gridCol w:w="1702"/>
        <w:gridCol w:w="2995"/>
      </w:tblGrid>
      <w:tr>
        <w:trPr>
          <w:trHeight w:val="690" w:hRule="atLeast"/>
        </w:trPr>
        <w:tc>
          <w:tcPr>
            <w:tcW w:w="657" w:type="dxa"/>
            <w:tcBorders>
              <w:top w:val="single" w:sz="8" w:space="0" w:color="000000"/>
              <w:left w:val="single" w:sz="4" w:space="0" w:color="000000"/>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kern w:val="0"/>
                <w:sz w:val="24"/>
                <w:szCs w:val="24"/>
                <w:lang w:eastAsia="hr-HR"/>
                <w14:ligatures w14:val="none"/>
              </w:rPr>
              <w:t>BR.</w:t>
            </w:r>
          </w:p>
        </w:tc>
        <w:tc>
          <w:tcPr>
            <w:tcW w:w="275" w:type="dxa"/>
            <w:tcBorders>
              <w:top w:val="single" w:sz="8" w:space="0" w:color="000000"/>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kern w:val="0"/>
                <w:sz w:val="24"/>
                <w:szCs w:val="24"/>
                <w:lang w:eastAsia="hr-HR"/>
                <w14:ligatures w14:val="none"/>
              </w:rPr>
              <w:t> </w:t>
            </w:r>
          </w:p>
        </w:tc>
        <w:tc>
          <w:tcPr>
            <w:tcW w:w="3741" w:type="dxa"/>
            <w:tcBorders>
              <w:top w:val="single" w:sz="8" w:space="0" w:color="000000"/>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kern w:val="0"/>
                <w:sz w:val="24"/>
                <w:szCs w:val="24"/>
                <w:lang w:eastAsia="hr-HR"/>
                <w14:ligatures w14:val="none"/>
              </w:rPr>
              <w:t>VRSTA PRIHODA /IZDATAKA</w:t>
            </w:r>
          </w:p>
        </w:tc>
        <w:tc>
          <w:tcPr>
            <w:tcW w:w="1700" w:type="dxa"/>
            <w:tcBorders>
              <w:top w:val="single" w:sz="8" w:space="0" w:color="000000"/>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kern w:val="0"/>
                <w:sz w:val="24"/>
                <w:szCs w:val="24"/>
                <w:lang w:eastAsia="hr-HR"/>
                <w14:ligatures w14:val="none"/>
              </w:rPr>
              <w:t>PLAN 2026.</w:t>
            </w:r>
          </w:p>
        </w:tc>
        <w:tc>
          <w:tcPr>
            <w:tcW w:w="1702" w:type="dxa"/>
            <w:tcBorders>
              <w:top w:val="single" w:sz="8" w:space="0" w:color="000000"/>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POVEĆANJE/SMENJENJE</w:t>
            </w:r>
          </w:p>
        </w:tc>
        <w:tc>
          <w:tcPr>
            <w:tcW w:w="2995" w:type="dxa"/>
            <w:tcBorders>
              <w:top w:val="single" w:sz="8" w:space="0" w:color="000000"/>
              <w:bottom w:val="single" w:sz="8" w:space="0" w:color="000000"/>
              <w:right w:val="single" w:sz="8"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kern w:val="0"/>
                <w:sz w:val="24"/>
                <w:szCs w:val="24"/>
                <w:lang w:eastAsia="hr-HR"/>
                <w14:ligatures w14:val="none"/>
              </w:rPr>
              <w:t>NOVI PLAN</w:t>
            </w:r>
          </w:p>
        </w:tc>
      </w:tr>
      <w:tr>
        <w:trPr>
          <w:trHeight w:val="255" w:hRule="atLeast"/>
        </w:trPr>
        <w:tc>
          <w:tcPr>
            <w:tcW w:w="657" w:type="dxa"/>
            <w:tcBorders>
              <w:left w:val="single" w:sz="8"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 </w:t>
            </w:r>
          </w:p>
        </w:tc>
        <w:tc>
          <w:tcPr>
            <w:tcW w:w="4016" w:type="dxa"/>
            <w:gridSpan w:val="2"/>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PRIHODI UKUPNO</w:t>
            </w:r>
          </w:p>
        </w:tc>
        <w:tc>
          <w:tcPr>
            <w:tcW w:w="1700"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1.318.190,00</w:t>
            </w:r>
          </w:p>
        </w:tc>
        <w:tc>
          <w:tcPr>
            <w:tcW w:w="1702"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 xml:space="preserve">-7.732.00 </w:t>
            </w:r>
          </w:p>
        </w:tc>
        <w:tc>
          <w:tcPr>
            <w:tcW w:w="2995"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kern w:val="0"/>
                <w:sz w:val="24"/>
                <w:szCs w:val="24"/>
                <w:lang w:eastAsia="hr-HR"/>
                <w14:ligatures w14:val="none"/>
              </w:rPr>
              <w:t>1.310.458,00</w:t>
            </w:r>
          </w:p>
        </w:tc>
      </w:tr>
      <w:tr>
        <w:trPr>
          <w:trHeight w:val="255" w:hRule="atLeast"/>
        </w:trPr>
        <w:tc>
          <w:tcPr>
            <w:tcW w:w="657" w:type="dxa"/>
            <w:tcBorders>
              <w:left w:val="single" w:sz="8"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6</w:t>
            </w:r>
          </w:p>
        </w:tc>
        <w:tc>
          <w:tcPr>
            <w:tcW w:w="4016" w:type="dxa"/>
            <w:gridSpan w:val="2"/>
            <w:tcBorders>
              <w:top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PRIHODI POSLOVANJA</w:t>
            </w:r>
          </w:p>
        </w:tc>
        <w:tc>
          <w:tcPr>
            <w:tcW w:w="1700"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1.318.190,00</w:t>
            </w:r>
          </w:p>
        </w:tc>
        <w:tc>
          <w:tcPr>
            <w:tcW w:w="1702"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 xml:space="preserve">-7.732,00 </w:t>
            </w:r>
          </w:p>
        </w:tc>
        <w:tc>
          <w:tcPr>
            <w:tcW w:w="2995"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kern w:val="0"/>
                <w:sz w:val="24"/>
                <w:szCs w:val="24"/>
                <w:lang w:eastAsia="hr-HR"/>
                <w14:ligatures w14:val="none"/>
              </w:rPr>
              <w:t>1.310.458,00</w:t>
            </w:r>
          </w:p>
        </w:tc>
      </w:tr>
      <w:tr>
        <w:trPr>
          <w:trHeight w:val="255" w:hRule="atLeast"/>
        </w:trPr>
        <w:tc>
          <w:tcPr>
            <w:tcW w:w="657" w:type="dxa"/>
            <w:tcBorders>
              <w:left w:val="single" w:sz="8"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7</w:t>
            </w:r>
          </w:p>
        </w:tc>
        <w:tc>
          <w:tcPr>
            <w:tcW w:w="4016" w:type="dxa"/>
            <w:gridSpan w:val="2"/>
            <w:tcBorders>
              <w:top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PRIHODI OD PRODAJE NEFINANCIJSKE IMOVINE</w:t>
            </w:r>
          </w:p>
        </w:tc>
        <w:tc>
          <w:tcPr>
            <w:tcW w:w="1700"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0,00</w:t>
            </w:r>
          </w:p>
        </w:tc>
        <w:tc>
          <w:tcPr>
            <w:tcW w:w="1702"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 xml:space="preserve">0,00 </w:t>
            </w:r>
          </w:p>
        </w:tc>
        <w:tc>
          <w:tcPr>
            <w:tcW w:w="2995"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kern w:val="0"/>
                <w:sz w:val="24"/>
                <w:szCs w:val="24"/>
                <w:lang w:eastAsia="hr-HR"/>
                <w14:ligatures w14:val="none"/>
              </w:rPr>
              <w:t>0,00</w:t>
            </w:r>
          </w:p>
        </w:tc>
      </w:tr>
      <w:tr>
        <w:trPr>
          <w:trHeight w:val="255" w:hRule="atLeast"/>
        </w:trPr>
        <w:tc>
          <w:tcPr>
            <w:tcW w:w="657" w:type="dxa"/>
            <w:tcBorders>
              <w:left w:val="single" w:sz="8"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 </w:t>
            </w:r>
          </w:p>
        </w:tc>
        <w:tc>
          <w:tcPr>
            <w:tcW w:w="4016" w:type="dxa"/>
            <w:gridSpan w:val="2"/>
            <w:tcBorders>
              <w:top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RASHODI UKUPNO</w:t>
            </w:r>
          </w:p>
        </w:tc>
        <w:tc>
          <w:tcPr>
            <w:tcW w:w="1700"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1.425.190,00</w:t>
            </w:r>
          </w:p>
        </w:tc>
        <w:tc>
          <w:tcPr>
            <w:tcW w:w="1702"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 xml:space="preserve">109.123,09 </w:t>
            </w:r>
          </w:p>
        </w:tc>
        <w:tc>
          <w:tcPr>
            <w:tcW w:w="2995"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kern w:val="0"/>
                <w:sz w:val="24"/>
                <w:szCs w:val="24"/>
                <w:lang w:eastAsia="hr-HR"/>
                <w14:ligatures w14:val="none"/>
              </w:rPr>
              <w:t>1.534.313,09</w:t>
            </w:r>
          </w:p>
        </w:tc>
      </w:tr>
      <w:tr>
        <w:trPr>
          <w:trHeight w:val="255" w:hRule="atLeast"/>
        </w:trPr>
        <w:tc>
          <w:tcPr>
            <w:tcW w:w="657" w:type="dxa"/>
            <w:tcBorders>
              <w:left w:val="single" w:sz="8"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3</w:t>
            </w:r>
          </w:p>
        </w:tc>
        <w:tc>
          <w:tcPr>
            <w:tcW w:w="4016" w:type="dxa"/>
            <w:gridSpan w:val="2"/>
            <w:tcBorders>
              <w:top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RASHODI  POSLOVANJA</w:t>
            </w:r>
          </w:p>
        </w:tc>
        <w:tc>
          <w:tcPr>
            <w:tcW w:w="1700"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930.190,00</w:t>
            </w:r>
          </w:p>
        </w:tc>
        <w:tc>
          <w:tcPr>
            <w:tcW w:w="1702"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 xml:space="preserve">22.455,09 </w:t>
            </w:r>
          </w:p>
        </w:tc>
        <w:tc>
          <w:tcPr>
            <w:tcW w:w="2995"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kern w:val="0"/>
                <w:sz w:val="24"/>
                <w:szCs w:val="24"/>
                <w:lang w:eastAsia="hr-HR"/>
                <w14:ligatures w14:val="none"/>
              </w:rPr>
              <w:t>952.645,09</w:t>
            </w:r>
          </w:p>
        </w:tc>
      </w:tr>
      <w:tr>
        <w:trPr>
          <w:trHeight w:val="255" w:hRule="atLeast"/>
        </w:trPr>
        <w:tc>
          <w:tcPr>
            <w:tcW w:w="657" w:type="dxa"/>
            <w:tcBorders>
              <w:left w:val="single" w:sz="8"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4</w:t>
            </w:r>
          </w:p>
        </w:tc>
        <w:tc>
          <w:tcPr>
            <w:tcW w:w="4016" w:type="dxa"/>
            <w:gridSpan w:val="2"/>
            <w:tcBorders>
              <w:top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RASHODI ZA NABAVU NEFINANCIJSKE IMOVINE</w:t>
            </w:r>
          </w:p>
        </w:tc>
        <w:tc>
          <w:tcPr>
            <w:tcW w:w="1700"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495.000,00</w:t>
            </w:r>
          </w:p>
        </w:tc>
        <w:tc>
          <w:tcPr>
            <w:tcW w:w="1702"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kern w:val="0"/>
                <w:sz w:val="24"/>
                <w:szCs w:val="24"/>
                <w:lang w:eastAsia="hr-HR"/>
                <w14:ligatures w14:val="none"/>
              </w:rPr>
              <w:t xml:space="preserve">86.668,00 </w:t>
            </w:r>
          </w:p>
        </w:tc>
        <w:tc>
          <w:tcPr>
            <w:tcW w:w="2995"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kern w:val="0"/>
                <w:sz w:val="24"/>
                <w:szCs w:val="24"/>
                <w:lang w:eastAsia="hr-HR"/>
                <w14:ligatures w14:val="none"/>
              </w:rPr>
              <w:t>581.668,00</w:t>
            </w:r>
          </w:p>
        </w:tc>
      </w:tr>
      <w:tr>
        <w:trPr>
          <w:trHeight w:val="270" w:hRule="atLeast"/>
        </w:trPr>
        <w:tc>
          <w:tcPr>
            <w:tcW w:w="657" w:type="dxa"/>
            <w:tcBorders>
              <w:left w:val="single" w:sz="8" w:space="0" w:color="000000"/>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 </w:t>
            </w:r>
          </w:p>
        </w:tc>
        <w:tc>
          <w:tcPr>
            <w:tcW w:w="275"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 </w:t>
            </w:r>
          </w:p>
        </w:tc>
        <w:tc>
          <w:tcPr>
            <w:tcW w:w="3741"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VIŠAK/MANJAK</w:t>
            </w:r>
          </w:p>
        </w:tc>
        <w:tc>
          <w:tcPr>
            <w:tcW w:w="1700"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FF0000"/>
                <w:kern w:val="0"/>
                <w:sz w:val="24"/>
                <w:szCs w:val="24"/>
                <w:lang w:eastAsia="hr-HR"/>
                <w14:ligatures w14:val="none"/>
              </w:rPr>
              <w:t>107.000,00</w:t>
            </w:r>
          </w:p>
        </w:tc>
        <w:tc>
          <w:tcPr>
            <w:tcW w:w="1702"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EE0000"/>
                <w:kern w:val="0"/>
                <w:sz w:val="24"/>
                <w:szCs w:val="24"/>
                <w:lang w:eastAsia="hr-HR"/>
                <w14:ligatures w14:val="none"/>
              </w:rPr>
              <w:t xml:space="preserve">116.855,09 </w:t>
            </w:r>
          </w:p>
        </w:tc>
        <w:tc>
          <w:tcPr>
            <w:tcW w:w="2995"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FF0000"/>
                <w:kern w:val="0"/>
                <w:sz w:val="24"/>
                <w:szCs w:val="24"/>
                <w:lang w:eastAsia="hr-HR"/>
                <w14:ligatures w14:val="none"/>
              </w:rPr>
              <w:t>223.855,09</w:t>
            </w:r>
          </w:p>
        </w:tc>
      </w:tr>
    </w:tbl>
    <w:p>
      <w:pPr>
        <w:pStyle w:val="Normal"/>
        <w:ind w:left="0" w:hanging="0"/>
        <w:jc w:val="both"/>
        <w:rPr>
          <w:b/>
          <w:b/>
          <w:i/>
          <w:i/>
          <w:sz w:val="24"/>
          <w:szCs w:val="24"/>
        </w:rPr>
      </w:pPr>
      <w:r>
        <w:rPr>
          <w:b/>
          <w:i/>
          <w:sz w:val="24"/>
          <w:szCs w:val="24"/>
        </w:rPr>
      </w:r>
    </w:p>
    <w:tbl>
      <w:tblPr>
        <w:tblW w:w="10624" w:type="dxa"/>
        <w:jc w:val="left"/>
        <w:tblInd w:w="224" w:type="dxa"/>
        <w:tblLayout w:type="fixed"/>
        <w:tblCellMar>
          <w:top w:w="0" w:type="dxa"/>
          <w:left w:w="108" w:type="dxa"/>
          <w:bottom w:w="0" w:type="dxa"/>
          <w:right w:w="108" w:type="dxa"/>
        </w:tblCellMar>
        <w:tblLook w:firstRow="1" w:noVBand="1" w:lastRow="0" w:firstColumn="1" w:lastColumn="0" w:noHBand="0" w:val="04a0"/>
      </w:tblPr>
      <w:tblGrid>
        <w:gridCol w:w="9867"/>
        <w:gridCol w:w="191"/>
        <w:gridCol w:w="184"/>
        <w:gridCol w:w="191"/>
        <w:gridCol w:w="191"/>
      </w:tblGrid>
      <w:tr>
        <w:trPr>
          <w:trHeight w:val="225" w:hRule="atLeast"/>
        </w:trPr>
        <w:tc>
          <w:tcPr>
            <w:tcW w:w="9867" w:type="dxa"/>
            <w:tcBorders/>
            <w:vAlign w:val="center"/>
          </w:tcPr>
          <w:p>
            <w:pPr>
              <w:pStyle w:val="Stilnaslova1"/>
              <w:widowControl w:val="false"/>
              <w:numPr>
                <w:ilvl w:val="0"/>
                <w:numId w:val="3"/>
              </w:numPr>
              <w:spacing w:before="0" w:after="0"/>
              <w:ind w:left="0" w:hanging="426"/>
              <w:rPr>
                <w:sz w:val="24"/>
                <w:szCs w:val="24"/>
              </w:rPr>
            </w:pPr>
            <w:bookmarkStart w:id="5" w:name="_Toc193725194"/>
            <w:bookmarkStart w:id="6" w:name="_Toc88481283"/>
            <w:bookmarkStart w:id="7" w:name="_Toc88480340"/>
            <w:bookmarkStart w:id="8" w:name="_Toc87887594"/>
            <w:bookmarkStart w:id="9" w:name="_Toc87885884"/>
            <w:r>
              <w:rPr>
                <w:rFonts w:ascii="Times New Roman" w:hAnsi="Times New Roman"/>
                <w:sz w:val="24"/>
                <w:szCs w:val="24"/>
              </w:rPr>
              <w:t xml:space="preserve">O    </w:t>
            </w:r>
            <w:r>
              <w:rPr>
                <w:rFonts w:ascii="Times New Roman" w:hAnsi="Times New Roman"/>
                <w:sz w:val="24"/>
                <w:szCs w:val="24"/>
              </w:rPr>
              <w:t>OB</w:t>
            </w:r>
            <w:r>
              <w:rPr>
                <w:rFonts w:ascii="Times New Roman" w:hAnsi="Times New Roman"/>
                <w:sz w:val="24"/>
                <w:szCs w:val="24"/>
              </w:rPr>
              <w:t xml:space="preserve">RAZLOŽENJE </w:t>
            </w:r>
            <w:bookmarkEnd w:id="6"/>
            <w:bookmarkEnd w:id="7"/>
            <w:bookmarkEnd w:id="8"/>
            <w:bookmarkEnd w:id="9"/>
            <w:r>
              <w:rPr>
                <w:rFonts w:ascii="Times New Roman" w:hAnsi="Times New Roman"/>
                <w:sz w:val="24"/>
                <w:szCs w:val="24"/>
              </w:rPr>
              <w:t>OPĆEG DIJELA PRORAČUNA</w:t>
            </w:r>
            <w:bookmarkEnd w:id="5"/>
          </w:p>
          <w:p>
            <w:pPr>
              <w:pStyle w:val="Stilnaslova2"/>
              <w:widowControl w:val="false"/>
              <w:ind w:left="0" w:hanging="0"/>
              <w:rPr>
                <w:sz w:val="24"/>
                <w:szCs w:val="24"/>
              </w:rPr>
            </w:pPr>
            <w:bookmarkStart w:id="10" w:name="_Toc193725195"/>
            <w:bookmarkStart w:id="11" w:name="_Toc88481284"/>
            <w:bookmarkStart w:id="12" w:name="_Toc88480341"/>
            <w:bookmarkStart w:id="13" w:name="_Toc87887595"/>
            <w:bookmarkStart w:id="14" w:name="_Toc87885885"/>
            <w:bookmarkStart w:id="15" w:name="_Toc57199840"/>
            <w:r>
              <w:rPr>
                <w:rFonts w:ascii="Times New Roman" w:hAnsi="Times New Roman"/>
                <w:b/>
                <w:bCs/>
                <w:color w:val="auto"/>
                <w:sz w:val="24"/>
                <w:szCs w:val="24"/>
              </w:rPr>
              <w:t>B.1.</w:t>
              <w:tab/>
              <w:t>OBRAZLOŽENJE PRIHODA I RASHODA, PRIMITAKA I IZDATAKA</w:t>
            </w:r>
            <w:bookmarkEnd w:id="10"/>
            <w:bookmarkEnd w:id="11"/>
            <w:bookmarkEnd w:id="12"/>
            <w:bookmarkEnd w:id="13"/>
            <w:bookmarkEnd w:id="14"/>
            <w:bookmarkEnd w:id="15"/>
            <w:r>
              <w:rPr>
                <w:rFonts w:ascii="Times New Roman" w:hAnsi="Times New Roman"/>
                <w:b/>
                <w:bCs/>
                <w:color w:val="auto"/>
                <w:sz w:val="24"/>
                <w:szCs w:val="24"/>
              </w:rPr>
              <w:t xml:space="preserve"> </w:t>
            </w:r>
          </w:p>
          <w:p>
            <w:pPr>
              <w:pStyle w:val="Normal"/>
              <w:widowControl w:val="false"/>
              <w:spacing w:before="0" w:after="0"/>
              <w:ind w:left="0" w:hanging="0"/>
              <w:jc w:val="both"/>
              <w:rPr>
                <w:sz w:val="24"/>
                <w:szCs w:val="24"/>
              </w:rPr>
            </w:pPr>
            <w:r>
              <w:rPr>
                <w:sz w:val="24"/>
                <w:szCs w:val="24"/>
              </w:rPr>
              <w:t>Ovim izmjenama ukupni prihodi i primici konsolidiranog Proračuna za 2026. planirani su u visini 1.310.458,00 €.</w:t>
            </w:r>
          </w:p>
          <w:p>
            <w:pPr>
              <w:pStyle w:val="Normal"/>
              <w:widowControl w:val="false"/>
              <w:spacing w:before="0" w:after="0"/>
              <w:ind w:left="0" w:hanging="0"/>
              <w:jc w:val="both"/>
              <w:rPr>
                <w:sz w:val="24"/>
                <w:szCs w:val="24"/>
              </w:rPr>
            </w:pPr>
            <w:r>
              <w:rPr>
                <w:sz w:val="24"/>
                <w:szCs w:val="24"/>
              </w:rPr>
              <w:t xml:space="preserve">Ovim izmjenama mijenja se iznos Prihoda i primitaka kako je prikazano u sljedećoj tablici. </w:t>
            </w:r>
          </w:p>
          <w:tbl>
            <w:tblPr>
              <w:tblW w:w="113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0"/>
              <w:gridCol w:w="3027"/>
              <w:gridCol w:w="1418"/>
              <w:gridCol w:w="1559"/>
              <w:gridCol w:w="1418"/>
              <w:gridCol w:w="3377"/>
            </w:tblGrid>
            <w:tr>
              <w:trPr>
                <w:trHeight w:val="645" w:hRule="atLeast"/>
              </w:trPr>
              <w:tc>
                <w:tcPr>
                  <w:tcW w:w="3607" w:type="dxa"/>
                  <w:gridSpan w:val="2"/>
                  <w:tcBorders>
                    <w:top w:val="single" w:sz="8" w:space="0" w:color="000000"/>
                    <w:left w:val="single" w:sz="8" w:space="0" w:color="000000"/>
                    <w:bottom w:val="single" w:sz="4" w:space="0" w:color="000000"/>
                    <w:right w:val="single" w:sz="4" w:space="0" w:color="000000"/>
                  </w:tcBorders>
                  <w:shd w:color="000000" w:fill="DCDCDC" w:val="clear"/>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Brojčana oznaka i naziv</w:t>
                  </w:r>
                </w:p>
              </w:tc>
              <w:tc>
                <w:tcPr>
                  <w:tcW w:w="1418" w:type="dxa"/>
                  <w:tcBorders>
                    <w:top w:val="single" w:sz="8" w:space="0" w:color="000000"/>
                    <w:bottom w:val="single" w:sz="4" w:space="0" w:color="000000"/>
                    <w:right w:val="single" w:sz="4" w:space="0" w:color="000000"/>
                  </w:tcBorders>
                  <w:shd w:color="000000" w:fill="DCDCDC" w:val="clear"/>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Plan 2025.</w:t>
                  </w:r>
                </w:p>
              </w:tc>
              <w:tc>
                <w:tcPr>
                  <w:tcW w:w="1559" w:type="dxa"/>
                  <w:tcBorders>
                    <w:top w:val="single" w:sz="8" w:space="0" w:color="000000"/>
                    <w:bottom w:val="single" w:sz="4" w:space="0" w:color="000000"/>
                    <w:right w:val="single" w:sz="4" w:space="0" w:color="000000"/>
                  </w:tcBorders>
                  <w:shd w:color="000000" w:fill="DCDCDC" w:val="clear"/>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POVEĆANJE</w:t>
                  </w:r>
                </w:p>
              </w:tc>
              <w:tc>
                <w:tcPr>
                  <w:tcW w:w="1418" w:type="dxa"/>
                  <w:tcBorders>
                    <w:top w:val="single" w:sz="8" w:space="0" w:color="000000"/>
                    <w:bottom w:val="single" w:sz="4" w:space="0" w:color="000000"/>
                    <w:right w:val="single" w:sz="4" w:space="0" w:color="000000"/>
                  </w:tcBorders>
                  <w:shd w:color="000000" w:fill="DCDCDC" w:val="clear"/>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SMANJENJE</w:t>
                  </w:r>
                </w:p>
              </w:tc>
              <w:tc>
                <w:tcPr>
                  <w:tcW w:w="3377" w:type="dxa"/>
                  <w:tcBorders>
                    <w:top w:val="single" w:sz="8" w:space="0" w:color="000000"/>
                    <w:bottom w:val="single" w:sz="4" w:space="0" w:color="000000"/>
                    <w:right w:val="single" w:sz="8" w:space="0" w:color="000000"/>
                  </w:tcBorders>
                  <w:shd w:color="000000" w:fill="D9D9D9" w:val="clear"/>
                  <w:vAlign w:val="bottom"/>
                </w:tcPr>
                <w:p>
                  <w:pPr>
                    <w:pStyle w:val="Normal"/>
                    <w:widowControl w:val="false"/>
                    <w:suppressAutoHyphens w:val="false"/>
                    <w:spacing w:lineRule="auto" w:line="240" w:before="0" w:after="0"/>
                    <w:ind w:left="0" w:hanging="0"/>
                    <w:jc w:val="center"/>
                    <w:rPr>
                      <w:sz w:val="24"/>
                      <w:szCs w:val="24"/>
                    </w:rPr>
                  </w:pPr>
                  <w:r>
                    <w:rPr>
                      <w:rFonts w:eastAsia="Times New Roman" w:cs="Calibri"/>
                      <w:b/>
                      <w:bCs/>
                      <w:color w:val="000000"/>
                      <w:kern w:val="0"/>
                      <w:sz w:val="24"/>
                      <w:szCs w:val="24"/>
                      <w:lang w:eastAsia="hr-HR"/>
                      <w14:ligatures w14:val="none"/>
                    </w:rPr>
                    <w:t>NOVI PLAN</w:t>
                  </w:r>
                </w:p>
              </w:tc>
            </w:tr>
            <w:tr>
              <w:trPr>
                <w:trHeight w:val="195" w:hRule="atLeast"/>
              </w:trPr>
              <w:tc>
                <w:tcPr>
                  <w:tcW w:w="3607" w:type="dxa"/>
                  <w:gridSpan w:val="2"/>
                  <w:tcBorders>
                    <w:top w:val="single" w:sz="4" w:space="0" w:color="000000"/>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1</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4</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5</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6</w:t>
                  </w:r>
                </w:p>
              </w:tc>
              <w:tc>
                <w:tcPr>
                  <w:tcW w:w="3377"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 </w:t>
                  </w:r>
                </w:p>
              </w:tc>
              <w:tc>
                <w:tcPr>
                  <w:tcW w:w="3027"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UKUPNO PRIHODI</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2.276.089,00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294.679,92</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1.361.987,00</w:t>
                  </w:r>
                </w:p>
              </w:tc>
              <w:tc>
                <w:tcPr>
                  <w:tcW w:w="3377"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1.208.781,92</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6</w:t>
                  </w:r>
                </w:p>
              </w:tc>
              <w:tc>
                <w:tcPr>
                  <w:tcW w:w="3027"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Prihodi poslovanja</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2.276.089,00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294.679,92</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1.361.987,00</w:t>
                  </w:r>
                </w:p>
              </w:tc>
              <w:tc>
                <w:tcPr>
                  <w:tcW w:w="3377"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1.208.781,92</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61</w:t>
                  </w:r>
                </w:p>
              </w:tc>
              <w:tc>
                <w:tcPr>
                  <w:tcW w:w="3027"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Prihodi od poreza</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218.000,00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1.000,00</w:t>
                  </w:r>
                </w:p>
              </w:tc>
              <w:tc>
                <w:tcPr>
                  <w:tcW w:w="3377"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217.000,00</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63</w:t>
                  </w:r>
                </w:p>
              </w:tc>
              <w:tc>
                <w:tcPr>
                  <w:tcW w:w="3027"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Pomoći iz inozemstva i od subjekata unutar općeg proračuna</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1.730.000,00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292.379,92</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1.259.070,00</w:t>
                  </w:r>
                </w:p>
              </w:tc>
              <w:tc>
                <w:tcPr>
                  <w:tcW w:w="3377"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763.309,92</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64</w:t>
                  </w:r>
                </w:p>
              </w:tc>
              <w:tc>
                <w:tcPr>
                  <w:tcW w:w="3027"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Prihodi od imovine</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4.190,00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1.300,00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1.800,00</w:t>
                  </w:r>
                </w:p>
              </w:tc>
              <w:tc>
                <w:tcPr>
                  <w:tcW w:w="3377"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3.690,00</w:t>
                  </w:r>
                </w:p>
              </w:tc>
            </w:tr>
            <w:tr>
              <w:trPr>
                <w:trHeight w:val="66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65</w:t>
                  </w:r>
                </w:p>
              </w:tc>
              <w:tc>
                <w:tcPr>
                  <w:tcW w:w="3027"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Prihodi od upravnih i administrativnih pristojbi, pristojbi po posebnim propisima i naknada</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23.899,00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1.000,00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117,00</w:t>
                  </w:r>
                </w:p>
              </w:tc>
              <w:tc>
                <w:tcPr>
                  <w:tcW w:w="3377"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24.782,00</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66</w:t>
                  </w:r>
                </w:p>
              </w:tc>
              <w:tc>
                <w:tcPr>
                  <w:tcW w:w="3027"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Prihodi od prodaje proizvoda i robe te pruženih usluga i prihodi od donacija</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300.000,00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100.000,00</w:t>
                  </w:r>
                </w:p>
              </w:tc>
              <w:tc>
                <w:tcPr>
                  <w:tcW w:w="3377"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200.000,00</w:t>
                  </w:r>
                </w:p>
              </w:tc>
            </w:tr>
          </w:tbl>
          <w:p>
            <w:pPr>
              <w:pStyle w:val="Normal"/>
              <w:widowControl w:val="false"/>
              <w:spacing w:before="0" w:after="200"/>
              <w:ind w:left="0" w:hanging="0"/>
              <w:rPr>
                <w:color w:val="000000"/>
                <w:sz w:val="24"/>
                <w:szCs w:val="24"/>
              </w:rPr>
            </w:pPr>
            <w:r>
              <w:rPr>
                <w:color w:val="000000"/>
                <w:sz w:val="24"/>
                <w:szCs w:val="24"/>
              </w:rPr>
            </w:r>
          </w:p>
        </w:tc>
        <w:tc>
          <w:tcPr>
            <w:tcW w:w="191" w:type="dxa"/>
            <w:tcBorders/>
            <w:vAlign w:val="center"/>
          </w:tcPr>
          <w:p>
            <w:pPr>
              <w:pStyle w:val="Normal"/>
              <w:widowControl w:val="false"/>
              <w:spacing w:before="0" w:after="200"/>
              <w:ind w:left="0" w:hanging="0"/>
              <w:jc w:val="right"/>
              <w:rPr>
                <w:color w:val="000000"/>
                <w:sz w:val="24"/>
                <w:szCs w:val="24"/>
              </w:rPr>
            </w:pPr>
            <w:r>
              <w:rPr>
                <w:color w:val="000000"/>
                <w:sz w:val="24"/>
                <w:szCs w:val="24"/>
              </w:rPr>
            </w:r>
          </w:p>
        </w:tc>
        <w:tc>
          <w:tcPr>
            <w:tcW w:w="184" w:type="dxa"/>
            <w:tcBorders/>
            <w:vAlign w:val="center"/>
          </w:tcPr>
          <w:p>
            <w:pPr>
              <w:pStyle w:val="Normal"/>
              <w:widowControl w:val="false"/>
              <w:spacing w:before="0" w:after="200"/>
              <w:ind w:left="0" w:hanging="0"/>
              <w:jc w:val="right"/>
              <w:rPr>
                <w:color w:val="000000"/>
                <w:sz w:val="24"/>
                <w:szCs w:val="24"/>
              </w:rPr>
            </w:pPr>
            <w:r>
              <w:rPr>
                <w:color w:val="000000"/>
                <w:sz w:val="24"/>
                <w:szCs w:val="24"/>
              </w:rPr>
            </w:r>
          </w:p>
        </w:tc>
        <w:tc>
          <w:tcPr>
            <w:tcW w:w="191" w:type="dxa"/>
            <w:tcBorders/>
            <w:vAlign w:val="center"/>
          </w:tcPr>
          <w:p>
            <w:pPr>
              <w:pStyle w:val="Normal"/>
              <w:widowControl w:val="false"/>
              <w:spacing w:before="0" w:after="200"/>
              <w:ind w:left="0" w:hanging="0"/>
              <w:jc w:val="right"/>
              <w:rPr>
                <w:color w:val="000000"/>
                <w:sz w:val="24"/>
                <w:szCs w:val="24"/>
              </w:rPr>
            </w:pPr>
            <w:r>
              <w:rPr>
                <w:color w:val="000000"/>
                <w:sz w:val="24"/>
                <w:szCs w:val="24"/>
              </w:rPr>
            </w:r>
          </w:p>
        </w:tc>
        <w:tc>
          <w:tcPr>
            <w:tcW w:w="191" w:type="dxa"/>
            <w:tcBorders/>
            <w:vAlign w:val="center"/>
          </w:tcPr>
          <w:p>
            <w:pPr>
              <w:pStyle w:val="Normal"/>
              <w:widowControl w:val="false"/>
              <w:spacing w:before="0" w:after="200"/>
              <w:ind w:left="0" w:hanging="0"/>
              <w:jc w:val="right"/>
              <w:rPr>
                <w:color w:val="000000"/>
                <w:sz w:val="24"/>
                <w:szCs w:val="24"/>
              </w:rPr>
            </w:pPr>
            <w:r>
              <w:rPr>
                <w:color w:val="000000"/>
                <w:sz w:val="24"/>
                <w:szCs w:val="24"/>
              </w:rPr>
            </w:r>
          </w:p>
        </w:tc>
      </w:tr>
    </w:tbl>
    <w:p>
      <w:pPr>
        <w:pStyle w:val="Stilnaslova3"/>
        <w:spacing w:before="0" w:after="0"/>
        <w:ind w:left="0" w:hanging="0"/>
        <w:rPr>
          <w:rFonts w:ascii="Times New Roman" w:hAnsi="Times New Roman"/>
        </w:rPr>
      </w:pPr>
      <w:r>
        <w:rPr>
          <w:rFonts w:ascii="Times New Roman" w:hAnsi="Times New Roman"/>
        </w:rPr>
      </w:r>
    </w:p>
    <w:p>
      <w:pPr>
        <w:pStyle w:val="Stilnaslova3"/>
        <w:spacing w:before="0" w:after="0"/>
        <w:ind w:left="0" w:hanging="0"/>
        <w:rPr>
          <w:sz w:val="24"/>
          <w:szCs w:val="24"/>
        </w:rPr>
      </w:pPr>
      <w:bookmarkStart w:id="16" w:name="_Toc193725197"/>
      <w:r>
        <w:rPr>
          <w:rFonts w:ascii="Times New Roman" w:hAnsi="Times New Roman"/>
          <w:sz w:val="24"/>
          <w:szCs w:val="24"/>
        </w:rPr>
        <w:t xml:space="preserve">B.1.1.1. </w:t>
        <w:tab/>
        <w:t>PRIHODI POSLOVANJA</w:t>
      </w:r>
      <w:bookmarkEnd w:id="16"/>
      <w:r>
        <w:rPr>
          <w:rFonts w:ascii="Times New Roman" w:hAnsi="Times New Roman"/>
          <w:sz w:val="24"/>
          <w:szCs w:val="24"/>
        </w:rPr>
        <w:tab/>
        <w:tab/>
      </w:r>
    </w:p>
    <w:p>
      <w:pPr>
        <w:pStyle w:val="Normal"/>
        <w:ind w:left="0" w:hanging="0"/>
        <w:jc w:val="both"/>
        <w:rPr>
          <w:sz w:val="24"/>
          <w:szCs w:val="24"/>
        </w:rPr>
      </w:pPr>
      <w:r>
        <w:rPr>
          <w:b/>
          <w:sz w:val="24"/>
          <w:szCs w:val="24"/>
        </w:rPr>
        <w:t>Skupina 63 –</w:t>
      </w:r>
      <w:r>
        <w:rPr>
          <w:sz w:val="24"/>
          <w:szCs w:val="24"/>
        </w:rPr>
        <w:t xml:space="preserve"> Prihodi od pomoći planirani su u iznosu 764.718,00 €, a ovim Izmjenama i dopunama Proračuna smanjuju se za 7.732,00 €. Ovo smanjenje odnosi se na smanjenje prihoda od pomoći za projekt rekonstrukcije nogostupa.</w:t>
      </w:r>
    </w:p>
    <w:p>
      <w:pPr>
        <w:pStyle w:val="Stilnaslova3"/>
        <w:spacing w:before="0" w:after="0"/>
        <w:ind w:left="0" w:hanging="0"/>
        <w:rPr>
          <w:sz w:val="24"/>
          <w:szCs w:val="24"/>
        </w:rPr>
      </w:pPr>
      <w:bookmarkStart w:id="17" w:name="_Toc193725198"/>
      <w:r>
        <w:rPr>
          <w:rFonts w:ascii="Times New Roman" w:hAnsi="Times New Roman"/>
          <w:sz w:val="24"/>
          <w:szCs w:val="24"/>
        </w:rPr>
        <w:t>B.1.2. RASHODI I IZDACI</w:t>
      </w:r>
      <w:bookmarkEnd w:id="17"/>
    </w:p>
    <w:p>
      <w:pPr>
        <w:pStyle w:val="Normal"/>
        <w:ind w:left="0" w:hanging="0"/>
        <w:jc w:val="both"/>
        <w:rPr>
          <w:sz w:val="24"/>
          <w:szCs w:val="24"/>
        </w:rPr>
      </w:pPr>
      <w:r>
        <w:rPr>
          <w:sz w:val="24"/>
          <w:szCs w:val="24"/>
        </w:rPr>
        <w:t>Ovim izmjenama ukupni rashodi i izdaci konsolidiranog Proračuna za 2026. koji su planirani u visini 1.534.313,09 € povećavaju se za 109.123,09 € i sada iznose 1.534.313,09 €.</w:t>
      </w:r>
    </w:p>
    <w:p>
      <w:pPr>
        <w:pStyle w:val="Tijelotekstauvlaka21"/>
        <w:spacing w:lineRule="auto" w:line="240" w:before="0" w:after="0"/>
        <w:ind w:left="0" w:hanging="0"/>
        <w:rPr>
          <w:sz w:val="24"/>
          <w:szCs w:val="24"/>
        </w:rPr>
      </w:pPr>
      <w:r>
        <w:rPr>
          <w:sz w:val="24"/>
          <w:szCs w:val="24"/>
        </w:rPr>
        <w:t xml:space="preserve">Ovim izmjenama mijenja se iznos Rashoda i izdataka kako je prikazano u sljedećoj tablici. </w:t>
      </w:r>
    </w:p>
    <w:tbl>
      <w:tblPr>
        <w:tblW w:w="11380" w:type="dxa"/>
        <w:jc w:val="left"/>
        <w:tblInd w:w="118" w:type="dxa"/>
        <w:tblLayout w:type="fixed"/>
        <w:tblCellMar>
          <w:top w:w="0" w:type="dxa"/>
          <w:left w:w="108" w:type="dxa"/>
          <w:bottom w:w="0" w:type="dxa"/>
          <w:right w:w="108" w:type="dxa"/>
        </w:tblCellMar>
        <w:tblLook w:firstRow="1" w:noVBand="1" w:lastRow="0" w:firstColumn="1" w:lastColumn="0" w:noHBand="0" w:val="04a0"/>
      </w:tblPr>
      <w:tblGrid>
        <w:gridCol w:w="580"/>
        <w:gridCol w:w="3340"/>
        <w:gridCol w:w="1172"/>
        <w:gridCol w:w="1418"/>
        <w:gridCol w:w="1559"/>
        <w:gridCol w:w="3310"/>
      </w:tblGrid>
      <w:tr>
        <w:trPr>
          <w:trHeight w:val="645" w:hRule="atLeast"/>
        </w:trPr>
        <w:tc>
          <w:tcPr>
            <w:tcW w:w="3920" w:type="dxa"/>
            <w:gridSpan w:val="2"/>
            <w:tcBorders>
              <w:top w:val="single" w:sz="4" w:space="0" w:color="000000"/>
              <w:left w:val="single" w:sz="8" w:space="0" w:color="000000"/>
              <w:bottom w:val="single" w:sz="4" w:space="0" w:color="000000"/>
              <w:right w:val="single" w:sz="4" w:space="0" w:color="000000"/>
            </w:tcBorders>
            <w:shd w:color="000000" w:fill="DCDCDC" w:val="clear"/>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Brojčana oznaka i naziv</w:t>
            </w:r>
          </w:p>
        </w:tc>
        <w:tc>
          <w:tcPr>
            <w:tcW w:w="1172" w:type="dxa"/>
            <w:tcBorders>
              <w:top w:val="single" w:sz="4" w:space="0" w:color="000000"/>
              <w:bottom w:val="single" w:sz="4" w:space="0" w:color="000000"/>
              <w:right w:val="single" w:sz="4" w:space="0" w:color="000000"/>
            </w:tcBorders>
            <w:shd w:color="000000" w:fill="DCDCDC" w:val="clear"/>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Plan 2025.</w:t>
            </w:r>
          </w:p>
        </w:tc>
        <w:tc>
          <w:tcPr>
            <w:tcW w:w="1418" w:type="dxa"/>
            <w:tcBorders>
              <w:top w:val="single" w:sz="4" w:space="0" w:color="000000"/>
              <w:bottom w:val="single" w:sz="4" w:space="0" w:color="000000"/>
              <w:right w:val="single" w:sz="4" w:space="0" w:color="000000"/>
            </w:tcBorders>
            <w:shd w:color="000000" w:fill="DCDCDC" w:val="clear"/>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Povećanje</w:t>
            </w:r>
          </w:p>
        </w:tc>
        <w:tc>
          <w:tcPr>
            <w:tcW w:w="1559" w:type="dxa"/>
            <w:tcBorders>
              <w:top w:val="single" w:sz="4" w:space="0" w:color="000000"/>
              <w:bottom w:val="single" w:sz="4" w:space="0" w:color="000000"/>
              <w:right w:val="single" w:sz="4" w:space="0" w:color="000000"/>
            </w:tcBorders>
            <w:shd w:color="000000" w:fill="DCDCDC" w:val="clear"/>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Smanjenje</w:t>
            </w:r>
          </w:p>
        </w:tc>
        <w:tc>
          <w:tcPr>
            <w:tcW w:w="3310" w:type="dxa"/>
            <w:tcBorders>
              <w:top w:val="single" w:sz="8" w:space="0" w:color="000000"/>
              <w:bottom w:val="single" w:sz="4" w:space="0" w:color="000000"/>
              <w:right w:val="single" w:sz="8" w:space="0" w:color="000000"/>
            </w:tcBorders>
            <w:shd w:color="000000" w:fill="D9D9D9" w:val="clear"/>
            <w:vAlign w:val="bottom"/>
          </w:tcPr>
          <w:p>
            <w:pPr>
              <w:pStyle w:val="Normal"/>
              <w:widowControl w:val="false"/>
              <w:suppressAutoHyphens w:val="false"/>
              <w:spacing w:lineRule="auto" w:line="240" w:before="0" w:after="0"/>
              <w:ind w:left="0" w:hanging="0"/>
              <w:jc w:val="center"/>
              <w:rPr>
                <w:sz w:val="24"/>
                <w:szCs w:val="24"/>
              </w:rPr>
            </w:pPr>
            <w:r>
              <w:rPr>
                <w:rFonts w:eastAsia="Times New Roman" w:cs="Calibri"/>
                <w:b/>
                <w:bCs/>
                <w:color w:val="000000"/>
                <w:kern w:val="0"/>
                <w:sz w:val="24"/>
                <w:szCs w:val="24"/>
                <w:lang w:eastAsia="hr-HR"/>
                <w14:ligatures w14:val="none"/>
              </w:rPr>
              <w:t>NOVI PLAN</w:t>
            </w:r>
          </w:p>
        </w:tc>
      </w:tr>
      <w:tr>
        <w:trPr>
          <w:trHeight w:val="195" w:hRule="atLeast"/>
        </w:trPr>
        <w:tc>
          <w:tcPr>
            <w:tcW w:w="3920" w:type="dxa"/>
            <w:gridSpan w:val="2"/>
            <w:tcBorders>
              <w:top w:val="single" w:sz="4" w:space="0" w:color="000000"/>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1</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4</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5</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color w:val="000000"/>
                <w:kern w:val="0"/>
                <w:sz w:val="24"/>
                <w:szCs w:val="24"/>
                <w:lang w:eastAsia="hr-HR"/>
                <w14:ligatures w14:val="none"/>
              </w:rPr>
              <w:t>6</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 </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 </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UKUPNO RASHODI</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2.647.917,81</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204.679,92</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1.271.987,00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1.580.610,73</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3</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Rashodi poslovanja</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1.028.089,00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200.679,92</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227.279,00</w:t>
            </w:r>
          </w:p>
        </w:tc>
        <w:tc>
          <w:tcPr>
            <w:tcW w:w="3310" w:type="dxa"/>
            <w:tcBorders>
              <w:bottom w:val="single" w:sz="4" w:space="0" w:color="000000"/>
              <w:right w:val="single" w:sz="8"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1.001.489,92</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31</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Rashodi za zaposlene</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376.800,00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104.730,00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0,00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481.530,00</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32</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Materijalni rashodi</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373.314,00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54.370,00</w:t>
            </w:r>
          </w:p>
        </w:tc>
        <w:tc>
          <w:tcPr>
            <w:tcW w:w="1559" w:type="dxa"/>
            <w:tcBorders>
              <w:bottom w:val="single" w:sz="4" w:space="0" w:color="000000"/>
              <w:right w:val="single" w:sz="4" w:space="0" w:color="000000"/>
            </w:tcBorders>
            <w:shd w:color="000000" w:fill="FFFFFF" w:val="clear"/>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158.814,00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268.870,00</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34</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Financijski rashodi</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4.930,00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3.500,00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1.000,00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7.430,00</w:t>
            </w:r>
          </w:p>
        </w:tc>
      </w:tr>
      <w:tr>
        <w:trPr>
          <w:trHeight w:val="525"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36</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Pomoći dane u inozemstvo i unutar općeg proračuna</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10.000,00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10.000,00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0,00</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37</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Naknade građanima i kućanstvima na temelju osiguranja i druge naknade</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78.150,00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10.400,00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28.200,00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60.350,00</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38</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Ostali rashodi</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184.895,00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27.679,92</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29.265,00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183.309,92</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4</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Rashodi za nabavu nefinancijske imovine</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1.619.828,81</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4.000,00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1.044.708,00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579.120,81</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42</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Rashodi za nabavu proizvedene dugotrajne imovine</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981.000,00</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4.000,00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825.500,00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159.500,00</w:t>
            </w:r>
          </w:p>
        </w:tc>
      </w:tr>
      <w:tr>
        <w:trPr>
          <w:trHeight w:val="510" w:hRule="atLeast"/>
        </w:trPr>
        <w:tc>
          <w:tcPr>
            <w:tcW w:w="580" w:type="dxa"/>
            <w:tcBorders>
              <w:left w:val="single" w:sz="8" w:space="0" w:color="000000"/>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45</w:t>
            </w:r>
          </w:p>
        </w:tc>
        <w:tc>
          <w:tcPr>
            <w:tcW w:w="3340"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color w:val="000000"/>
                <w:kern w:val="0"/>
                <w:sz w:val="24"/>
                <w:szCs w:val="24"/>
                <w:lang w:eastAsia="hr-HR"/>
                <w14:ligatures w14:val="none"/>
              </w:rPr>
              <w:t>Rashodi za dodatna ulaganja na nefinancijskoj imovini</w:t>
            </w:r>
          </w:p>
        </w:tc>
        <w:tc>
          <w:tcPr>
            <w:tcW w:w="1172"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638.828,81</w:t>
            </w:r>
          </w:p>
        </w:tc>
        <w:tc>
          <w:tcPr>
            <w:tcW w:w="1418"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0,00</w:t>
            </w:r>
          </w:p>
        </w:tc>
        <w:tc>
          <w:tcPr>
            <w:tcW w:w="1559" w:type="dxa"/>
            <w:tcBorders>
              <w:bottom w:val="single" w:sz="4" w:space="0" w:color="000000"/>
              <w:right w:val="single" w:sz="4" w:space="0" w:color="000000"/>
            </w:tcBorders>
            <w:vAlign w:val="center"/>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color w:val="000000"/>
                <w:kern w:val="0"/>
                <w:sz w:val="24"/>
                <w:szCs w:val="24"/>
                <w:lang w:eastAsia="hr-HR"/>
                <w14:ligatures w14:val="none"/>
              </w:rPr>
              <w:t>219.208,00</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b/>
                <w:bCs/>
                <w:color w:val="000000"/>
                <w:kern w:val="0"/>
                <w:sz w:val="24"/>
                <w:szCs w:val="24"/>
                <w:lang w:eastAsia="hr-HR"/>
                <w14:ligatures w14:val="none"/>
              </w:rPr>
              <w:t>419.620,81</w:t>
            </w:r>
          </w:p>
        </w:tc>
      </w:tr>
      <w:tr>
        <w:trPr>
          <w:trHeight w:val="300" w:hRule="atLeast"/>
        </w:trPr>
        <w:tc>
          <w:tcPr>
            <w:tcW w:w="580" w:type="dxa"/>
            <w:tcBorders>
              <w:left w:val="single" w:sz="8"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3340"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1172"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1418"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1559"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3310" w:type="dxa"/>
            <w:tcBorders>
              <w:bottom w:val="single" w:sz="4"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r>
      <w:tr>
        <w:trPr>
          <w:trHeight w:val="315" w:hRule="atLeast"/>
        </w:trPr>
        <w:tc>
          <w:tcPr>
            <w:tcW w:w="580" w:type="dxa"/>
            <w:tcBorders>
              <w:left w:val="single" w:sz="8" w:space="0" w:color="000000"/>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3340"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1172"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1418"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1559" w:type="dxa"/>
            <w:tcBorders>
              <w:bottom w:val="single" w:sz="8"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c>
          <w:tcPr>
            <w:tcW w:w="3310" w:type="dxa"/>
            <w:tcBorders>
              <w:bottom w:val="single" w:sz="8" w:space="0" w:color="000000"/>
              <w:right w:val="single" w:sz="8"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Calibri"/>
                <w:color w:val="000000"/>
                <w:kern w:val="0"/>
                <w:sz w:val="24"/>
                <w:szCs w:val="24"/>
                <w:lang w:eastAsia="hr-HR"/>
                <w14:ligatures w14:val="none"/>
              </w:rPr>
              <w:t> </w:t>
            </w:r>
          </w:p>
        </w:tc>
      </w:tr>
    </w:tbl>
    <w:p>
      <w:pPr>
        <w:pStyle w:val="Stilnaslova4"/>
        <w:ind w:left="0" w:hanging="0"/>
        <w:rPr>
          <w:sz w:val="24"/>
          <w:szCs w:val="24"/>
        </w:rPr>
      </w:pPr>
      <w:bookmarkStart w:id="18" w:name="_Toc193725199"/>
      <w:bookmarkStart w:id="19" w:name="_Toc88481288"/>
      <w:r>
        <w:rPr>
          <w:rFonts w:ascii="Times New Roman" w:hAnsi="Times New Roman"/>
          <w:sz w:val="24"/>
          <w:szCs w:val="24"/>
        </w:rPr>
        <w:t>B.1.2.1.RASHODI POSLOVANJA</w:t>
      </w:r>
      <w:bookmarkEnd w:id="18"/>
      <w:bookmarkEnd w:id="19"/>
    </w:p>
    <w:p>
      <w:pPr>
        <w:pStyle w:val="Normal"/>
        <w:ind w:left="0" w:hanging="0"/>
        <w:jc w:val="both"/>
        <w:rPr>
          <w:sz w:val="24"/>
          <w:szCs w:val="24"/>
        </w:rPr>
      </w:pPr>
      <w:r>
        <w:rPr>
          <w:b/>
          <w:sz w:val="24"/>
          <w:szCs w:val="24"/>
        </w:rPr>
        <w:t>Skupina 32</w:t>
      </w:r>
      <w:r>
        <w:rPr>
          <w:sz w:val="24"/>
          <w:szCs w:val="24"/>
        </w:rPr>
        <w:t xml:space="preserve"> - Materijalni rashodi se povećavaju za 16.664,09 € i prvenstveno se odnose na povećanje rashoda na ime ugovora o djelu iz razloga što su ukinuta sredstva za zapošljavanje javnih radova te općina mora angažirati komunalne redare i plaćati ih preko ugovora o djelu. </w:t>
      </w:r>
      <w:r>
        <w:rPr>
          <w:b/>
          <w:sz w:val="24"/>
          <w:szCs w:val="24"/>
        </w:rPr>
        <w:t xml:space="preserve">Skupina 37 - </w:t>
      </w:r>
      <w:r>
        <w:rPr>
          <w:bCs/>
          <w:sz w:val="24"/>
          <w:szCs w:val="24"/>
        </w:rPr>
        <w:t>Naknade građanima i kućanstvima na temelju osiguranja i druge naknade rebalansom se povećavaju za 15.000,00 € a odnose se na sufinanciranje dječjih ekskurzija.</w:t>
      </w:r>
    </w:p>
    <w:p>
      <w:pPr>
        <w:pStyle w:val="Stilnaslova3"/>
        <w:ind w:left="0" w:hanging="0"/>
        <w:rPr>
          <w:sz w:val="24"/>
          <w:szCs w:val="24"/>
        </w:rPr>
      </w:pPr>
      <w:bookmarkStart w:id="20" w:name="_Toc193725200"/>
      <w:bookmarkStart w:id="21" w:name="_Toc88481289"/>
      <w:r>
        <w:rPr>
          <w:rFonts w:ascii="Times New Roman" w:hAnsi="Times New Roman"/>
          <w:sz w:val="24"/>
          <w:szCs w:val="24"/>
        </w:rPr>
        <w:t>B.1.2.2. RASHODI ZA NABAVU NEFINANCIJSKE IMOVINE</w:t>
      </w:r>
      <w:bookmarkEnd w:id="20"/>
      <w:bookmarkEnd w:id="21"/>
    </w:p>
    <w:p>
      <w:pPr>
        <w:pStyle w:val="Normal"/>
        <w:spacing w:before="0" w:after="0"/>
        <w:ind w:left="0" w:hanging="0"/>
        <w:jc w:val="both"/>
        <w:rPr>
          <w:sz w:val="24"/>
          <w:szCs w:val="24"/>
        </w:rPr>
      </w:pPr>
      <w:r>
        <w:rPr>
          <w:b/>
          <w:sz w:val="24"/>
          <w:szCs w:val="24"/>
        </w:rPr>
        <w:t>Skupina 42</w:t>
      </w:r>
      <w:r>
        <w:rPr>
          <w:sz w:val="24"/>
          <w:szCs w:val="24"/>
        </w:rPr>
        <w:t xml:space="preserve"> – Rashodi za nabavu proizvedene dugotrajne imovine povećavaju se  za 131.968,00 €. Ovo povećanje odnosi se na izgradnju tribina na nogometnom igralištu koji će se financirati sredstvima LAG Srijem u iznosu 86.268.00 € te sredstvima ZVO-a u iznosu 47.700,00 €.povećanje rekonstrukcije Etno kuće u iznosu 50.000,00 €U okviru ove skupine ukidaju se rashodi za projekt izgradnja dječjeg vrtića u općini Negoslavci u iznosu 800.000,00 €.</w:t>
      </w:r>
    </w:p>
    <w:p>
      <w:pPr>
        <w:pStyle w:val="Normal"/>
        <w:spacing w:before="0" w:after="0"/>
        <w:ind w:left="0" w:hanging="0"/>
        <w:jc w:val="both"/>
        <w:rPr>
          <w:sz w:val="24"/>
          <w:szCs w:val="24"/>
        </w:rPr>
      </w:pPr>
      <w:r>
        <w:rPr>
          <w:b/>
          <w:sz w:val="24"/>
          <w:szCs w:val="24"/>
        </w:rPr>
        <w:t xml:space="preserve">Skupina 45 – </w:t>
      </w:r>
      <w:r>
        <w:rPr>
          <w:bCs/>
          <w:sz w:val="24"/>
          <w:szCs w:val="24"/>
        </w:rPr>
        <w:t>Rashodi za dodatna ulaganja na nefinancijskoj imovini smanjuj se za 45.300,00 € a odnosi se na smanjenje sredstava za rekonstrukciju cesta u opčini Negoslavci.</w:t>
      </w:r>
    </w:p>
    <w:p>
      <w:pPr>
        <w:pStyle w:val="Normal"/>
        <w:spacing w:before="0" w:after="0"/>
        <w:ind w:left="0" w:hanging="0"/>
        <w:jc w:val="both"/>
        <w:rPr>
          <w:sz w:val="24"/>
          <w:szCs w:val="24"/>
        </w:rPr>
      </w:pPr>
      <w:r>
        <w:rPr>
          <w:sz w:val="24"/>
          <w:szCs w:val="24"/>
        </w:rPr>
        <w:t xml:space="preserve"> </w:t>
      </w:r>
      <w:bookmarkStart w:id="22" w:name="_Toc193725201"/>
      <w:r>
        <w:rPr>
          <w:rFonts w:ascii="Times New Roman" w:hAnsi="Times New Roman"/>
          <w:b/>
          <w:bCs/>
          <w:color w:val="auto"/>
          <w:sz w:val="24"/>
          <w:szCs w:val="24"/>
        </w:rPr>
        <w:t>B.2. OBRAZLOŽENJE PRENESENOG MANJKA ODNOSNO VIŠKA</w:t>
      </w:r>
      <w:bookmarkEnd w:id="22"/>
    </w:p>
    <w:p>
      <w:pPr>
        <w:pStyle w:val="Normal"/>
        <w:spacing w:before="0" w:after="0"/>
        <w:ind w:left="0" w:hanging="0"/>
        <w:rPr>
          <w:sz w:val="24"/>
          <w:szCs w:val="24"/>
        </w:rPr>
      </w:pPr>
      <w:r>
        <w:rPr>
          <w:sz w:val="24"/>
          <w:szCs w:val="24"/>
        </w:rPr>
        <w:t>Oduzmemo li od ukupno ostvarenih prihoda ukupno ostvarene rashode iz 2025. godine dobivamo višak prihoda nad rashodima u iznosu od 223.855,09 €. Prilikom izrade proračuna za 2026. godine planiran je višak od 107.000,00 €, te je prvim izmjenama i dopunama proračuna za 2026. godinu povećan višak za 116.855,09 € do ukupno ostvarenog viška prihoda iz 2025. godine.</w:t>
      </w:r>
    </w:p>
    <w:p>
      <w:pPr>
        <w:pStyle w:val="Stilnaslova1"/>
        <w:numPr>
          <w:ilvl w:val="0"/>
          <w:numId w:val="3"/>
        </w:numPr>
        <w:ind w:left="0" w:hanging="426"/>
        <w:rPr>
          <w:sz w:val="24"/>
          <w:szCs w:val="24"/>
        </w:rPr>
      </w:pPr>
      <w:bookmarkStart w:id="23" w:name="_Toc193725202"/>
      <w:bookmarkStart w:id="24" w:name="_Toc88481291"/>
      <w:bookmarkStart w:id="25" w:name="_Toc88480343"/>
      <w:bookmarkStart w:id="26" w:name="_Toc87887597"/>
      <w:bookmarkStart w:id="27" w:name="_Toc87885887"/>
      <w:r>
        <w:rPr>
          <w:rFonts w:ascii="Times New Roman" w:hAnsi="Times New Roman"/>
          <w:sz w:val="24"/>
          <w:szCs w:val="24"/>
        </w:rPr>
        <w:t xml:space="preserve">OBRAZLOŽENJE POSEBNOG DIJELA PRORAČUNA </w:t>
      </w:r>
      <w:bookmarkEnd w:id="24"/>
      <w:bookmarkEnd w:id="25"/>
      <w:bookmarkEnd w:id="26"/>
      <w:bookmarkEnd w:id="27"/>
      <w:r>
        <w:rPr>
          <w:rFonts w:ascii="Times New Roman" w:hAnsi="Times New Roman"/>
          <w:sz w:val="24"/>
          <w:szCs w:val="24"/>
        </w:rPr>
        <w:t>PO ORGANIZACIJI I PROGRAMIMA</w:t>
      </w:r>
      <w:bookmarkEnd w:id="23"/>
      <w:r>
        <w:rPr>
          <w:rFonts w:ascii="Times New Roman" w:hAnsi="Times New Roman"/>
          <w:sz w:val="24"/>
          <w:szCs w:val="24"/>
        </w:rPr>
        <w:t xml:space="preserve"> </w:t>
      </w:r>
    </w:p>
    <w:p>
      <w:pPr>
        <w:pStyle w:val="Normal"/>
        <w:ind w:left="0" w:hanging="0"/>
        <w:jc w:val="both"/>
        <w:rPr>
          <w:sz w:val="24"/>
          <w:szCs w:val="24"/>
        </w:rPr>
      </w:pPr>
      <w:r>
        <w:rPr>
          <w:sz w:val="24"/>
          <w:szCs w:val="24"/>
        </w:rPr>
        <w:t>U nastavku se daje obrazloženje proračuna po organizacijskoj i  programskoj klasifikaciji, te po izvorima financiranja.</w:t>
      </w:r>
    </w:p>
    <w:p>
      <w:pPr>
        <w:pStyle w:val="Stilnaslova2"/>
        <w:ind w:left="0" w:hanging="0"/>
        <w:rPr>
          <w:sz w:val="24"/>
          <w:szCs w:val="24"/>
        </w:rPr>
      </w:pPr>
      <w:bookmarkStart w:id="28" w:name="_Toc193725203"/>
      <w:bookmarkStart w:id="29" w:name="_Toc88481292"/>
      <w:bookmarkStart w:id="30" w:name="_Toc88480344"/>
      <w:r>
        <w:rPr>
          <w:rFonts w:ascii="Times New Roman" w:hAnsi="Times New Roman"/>
          <w:b/>
          <w:bCs/>
          <w:color w:val="auto"/>
          <w:sz w:val="24"/>
          <w:szCs w:val="24"/>
        </w:rPr>
        <w:t xml:space="preserve">C.1. </w:t>
      </w:r>
      <w:bookmarkEnd w:id="28"/>
      <w:bookmarkEnd w:id="29"/>
      <w:bookmarkEnd w:id="30"/>
      <w:r>
        <w:rPr>
          <w:rFonts w:ascii="Times New Roman" w:hAnsi="Times New Roman"/>
          <w:b/>
          <w:bCs/>
          <w:color w:val="auto"/>
          <w:sz w:val="24"/>
          <w:szCs w:val="24"/>
        </w:rPr>
        <w:t>Glava 001 03 JEDINSTVENI UPRAVNI ODJEL</w:t>
      </w:r>
    </w:p>
    <w:p>
      <w:pPr>
        <w:pStyle w:val="Normal"/>
        <w:ind w:left="0" w:hanging="0"/>
        <w:rPr>
          <w:sz w:val="24"/>
          <w:szCs w:val="24"/>
        </w:rPr>
      </w:pPr>
      <w:r>
        <w:rPr>
          <w:sz w:val="24"/>
          <w:szCs w:val="24"/>
        </w:rPr>
        <w:t>Ukupni rashodi u Jedinstvenom upravnom odjelu dani su u tablici koja slijedi.</w:t>
      </w:r>
    </w:p>
    <w:tbl>
      <w:tblPr>
        <w:tblW w:w="9457"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597"/>
        <w:gridCol w:w="4602"/>
        <w:gridCol w:w="1657"/>
        <w:gridCol w:w="1600"/>
      </w:tblGrid>
      <w:tr>
        <w:trPr>
          <w:trHeight w:val="255" w:hRule="atLeast"/>
        </w:trPr>
        <w:tc>
          <w:tcPr>
            <w:tcW w:w="159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 xml:space="preserve">RAZDJEL </w:t>
            </w:r>
          </w:p>
        </w:tc>
        <w:tc>
          <w:tcPr>
            <w:tcW w:w="4602" w:type="dxa"/>
            <w:tcBorders>
              <w:top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kern w:val="0"/>
                <w:sz w:val="24"/>
                <w:szCs w:val="24"/>
                <w:lang w:eastAsia="hr-HR"/>
                <w14:ligatures w14:val="none"/>
              </w:rPr>
              <w:t>001  OPĆINSKO VIJEĆE I OPĆINSKI NAČELNIK I TIJELA SAMOUPRAVE</w:t>
            </w:r>
          </w:p>
        </w:tc>
        <w:tc>
          <w:tcPr>
            <w:tcW w:w="1657" w:type="dxa"/>
            <w:tcBorders>
              <w:top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center"/>
              <w:rPr>
                <w:sz w:val="24"/>
                <w:szCs w:val="24"/>
              </w:rPr>
            </w:pPr>
            <w:r>
              <w:rPr>
                <w:rFonts w:eastAsia="Times New Roman" w:cs="Arial" w:ascii="Arial" w:hAnsi="Arial"/>
                <w:b/>
                <w:bCs/>
                <w:kern w:val="0"/>
                <w:sz w:val="24"/>
                <w:szCs w:val="24"/>
                <w:lang w:eastAsia="hr-HR"/>
                <w14:ligatures w14:val="none"/>
              </w:rPr>
              <w:t>Plan 2026.</w:t>
            </w:r>
          </w:p>
        </w:tc>
        <w:tc>
          <w:tcPr>
            <w:tcW w:w="1600" w:type="dxa"/>
            <w:tcBorders>
              <w:top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kern w:val="0"/>
                <w:sz w:val="24"/>
                <w:szCs w:val="24"/>
                <w:lang w:eastAsia="hr-HR"/>
                <w14:ligatures w14:val="none"/>
              </w:rPr>
              <w:t>Novi plan 2026.</w:t>
            </w:r>
          </w:p>
        </w:tc>
      </w:tr>
      <w:tr>
        <w:trPr>
          <w:trHeight w:val="427" w:hRule="atLeast"/>
        </w:trPr>
        <w:tc>
          <w:tcPr>
            <w:tcW w:w="1597" w:type="dxa"/>
            <w:tcBorders>
              <w:left w:val="single" w:sz="4" w:space="0" w:color="000000"/>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i/>
                <w:iCs/>
                <w:kern w:val="0"/>
                <w:sz w:val="24"/>
                <w:szCs w:val="24"/>
                <w:lang w:eastAsia="hr-HR"/>
                <w14:ligatures w14:val="none"/>
              </w:rPr>
              <w:t>Glava 001 02</w:t>
            </w:r>
          </w:p>
        </w:tc>
        <w:tc>
          <w:tcPr>
            <w:tcW w:w="4602"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rPr>
                <w:sz w:val="24"/>
                <w:szCs w:val="24"/>
              </w:rPr>
            </w:pPr>
            <w:r>
              <w:rPr>
                <w:rFonts w:eastAsia="Times New Roman" w:cs="Arial" w:ascii="Arial" w:hAnsi="Arial"/>
                <w:b/>
                <w:bCs/>
                <w:i/>
                <w:iCs/>
                <w:kern w:val="0"/>
                <w:sz w:val="24"/>
                <w:szCs w:val="24"/>
                <w:lang w:eastAsia="hr-HR"/>
                <w14:ligatures w14:val="none"/>
              </w:rPr>
              <w:t>Jedinstveni upravni odjel</w:t>
            </w:r>
          </w:p>
        </w:tc>
        <w:tc>
          <w:tcPr>
            <w:tcW w:w="1657"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kern w:val="0"/>
                <w:sz w:val="24"/>
                <w:szCs w:val="24"/>
                <w:lang w:eastAsia="hr-HR"/>
                <w14:ligatures w14:val="none"/>
              </w:rPr>
              <w:t>1.406.890,00</w:t>
            </w:r>
          </w:p>
        </w:tc>
        <w:tc>
          <w:tcPr>
            <w:tcW w:w="1600" w:type="dxa"/>
            <w:tcBorders>
              <w:bottom w:val="single" w:sz="4" w:space="0" w:color="000000"/>
              <w:right w:val="single" w:sz="4" w:space="0" w:color="000000"/>
            </w:tcBorders>
            <w:vAlign w:val="bottom"/>
          </w:tcPr>
          <w:p>
            <w:pPr>
              <w:pStyle w:val="Normal"/>
              <w:widowControl w:val="false"/>
              <w:suppressAutoHyphens w:val="false"/>
              <w:spacing w:lineRule="auto" w:line="240" w:before="0" w:after="0"/>
              <w:ind w:left="0" w:hanging="0"/>
              <w:jc w:val="right"/>
              <w:rPr>
                <w:sz w:val="24"/>
                <w:szCs w:val="24"/>
              </w:rPr>
            </w:pPr>
            <w:r>
              <w:rPr>
                <w:rFonts w:eastAsia="Times New Roman" w:cs="Arial" w:ascii="Arial" w:hAnsi="Arial"/>
                <w:b/>
                <w:bCs/>
                <w:kern w:val="0"/>
                <w:sz w:val="24"/>
                <w:szCs w:val="24"/>
                <w:lang w:eastAsia="hr-HR"/>
                <w14:ligatures w14:val="none"/>
              </w:rPr>
              <w:t>1.518.513,09</w:t>
            </w:r>
          </w:p>
        </w:tc>
      </w:tr>
    </w:tbl>
    <w:p>
      <w:pPr>
        <w:pStyle w:val="Stilnaslova3"/>
        <w:ind w:left="0" w:hanging="0"/>
        <w:rPr>
          <w:sz w:val="24"/>
          <w:szCs w:val="24"/>
        </w:rPr>
      </w:pPr>
      <w:bookmarkStart w:id="31" w:name="_Toc193725204"/>
      <w:bookmarkStart w:id="32" w:name="_Toc88481293"/>
      <w:r>
        <w:rPr>
          <w:rFonts w:ascii="Times New Roman" w:hAnsi="Times New Roman"/>
          <w:sz w:val="24"/>
          <w:szCs w:val="24"/>
        </w:rPr>
        <w:t>C.1.1.</w:t>
        <w:tab/>
        <w:t>Glava: Jedinstveni upravni odjel</w:t>
      </w:r>
      <w:bookmarkEnd w:id="31"/>
      <w:bookmarkEnd w:id="32"/>
    </w:p>
    <w:p>
      <w:pPr>
        <w:pStyle w:val="Normal"/>
        <w:ind w:left="0" w:hanging="0"/>
        <w:rPr>
          <w:sz w:val="24"/>
          <w:szCs w:val="24"/>
        </w:rPr>
      </w:pPr>
      <w:r>
        <w:rPr>
          <w:b/>
          <w:bCs/>
          <w:sz w:val="24"/>
          <w:szCs w:val="24"/>
        </w:rPr>
        <w:t>Djelokrug:</w:t>
      </w:r>
    </w:p>
    <w:p>
      <w:pPr>
        <w:pStyle w:val="Normal"/>
        <w:spacing w:before="0" w:after="0"/>
        <w:ind w:left="0" w:hanging="0"/>
        <w:rPr>
          <w:sz w:val="24"/>
          <w:szCs w:val="24"/>
        </w:rPr>
      </w:pPr>
      <w:r>
        <w:rPr>
          <w:b/>
          <w:bCs/>
          <w:sz w:val="24"/>
          <w:szCs w:val="24"/>
        </w:rPr>
        <w:t>Jedinstveni</w:t>
      </w:r>
      <w:r>
        <w:rPr>
          <w:sz w:val="24"/>
          <w:szCs w:val="24"/>
        </w:rPr>
        <w:t xml:space="preserve"> upravni odjel obavlja sve stručne i administrativne poslove za potrebe Općinskog vijeća, Načelnika, te obavlja sve ostale poslove utvrđene zakonom.</w:t>
      </w:r>
    </w:p>
    <w:p>
      <w:pPr>
        <w:pStyle w:val="Normal"/>
        <w:spacing w:before="0" w:after="0"/>
        <w:ind w:left="0" w:hanging="0"/>
        <w:rPr>
          <w:sz w:val="24"/>
          <w:szCs w:val="24"/>
        </w:rPr>
      </w:pPr>
      <w:r>
        <w:rPr>
          <w:sz w:val="24"/>
          <w:szCs w:val="24"/>
        </w:rPr>
        <w:t>Općina u svom samoupravnom djelokrugu obavlja poslove lokalnog značenja kojima se neposredno ostvaruju potrebe građana, a koji nisu Ustavom ili zakonom dodijeljeni državnim tijelima i to osobito poslove koji se odnose na:</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Uređenje naselja i stanovanja,</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Prostorno i urbanističko planiranje</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Komunalne djelatnosti</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Briga o djeci</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Socijalnu skrb</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Primarnu zdravstvenu zaštitu</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Odgoj i osnovno obrazovanje</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Kulturu, tjelesnu kulturu i sport</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Zaštitu potrošača</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Zaštitu i unapređenje prirodnog okoliša</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Protupožarnu zaštitu i civilnu zaštitu</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Promet na području Općine</w:t>
      </w:r>
    </w:p>
    <w:p>
      <w:pPr>
        <w:pStyle w:val="ListParagraph"/>
        <w:numPr>
          <w:ilvl w:val="0"/>
          <w:numId w:val="6"/>
        </w:numPr>
        <w:ind w:left="0" w:hanging="360"/>
        <w:rPr>
          <w:sz w:val="24"/>
          <w:szCs w:val="24"/>
        </w:rPr>
      </w:pPr>
      <w:r>
        <w:rPr>
          <w:rFonts w:cs="Calibri" w:ascii="Calibri" w:hAnsi="Calibri" w:asciiTheme="minorHAnsi" w:cstheme="minorHAnsi" w:hAnsiTheme="minorHAnsi"/>
          <w:sz w:val="24"/>
          <w:szCs w:val="24"/>
        </w:rPr>
        <w:t>Ostale poslove prema zakonu.</w:t>
      </w:r>
    </w:p>
    <w:p>
      <w:pPr>
        <w:pStyle w:val="Normal"/>
        <w:ind w:left="0" w:hanging="0"/>
        <w:rPr>
          <w:sz w:val="24"/>
          <w:szCs w:val="24"/>
        </w:rPr>
      </w:pPr>
      <w:r>
        <w:rPr>
          <w:sz w:val="24"/>
          <w:szCs w:val="24"/>
        </w:rPr>
        <w:t>U Jedinstvenom upravnom odjelu ukupni rashodi planirani su u iznosu 1.406.890,00 €. Ovim Izmjenama i dopunama Proračuna rashodi su povećani za 111.623,09 € i sada iznose 1.518.513,09 €.</w:t>
      </w:r>
    </w:p>
    <w:p>
      <w:pPr>
        <w:pStyle w:val="Normal"/>
        <w:ind w:left="0" w:hanging="0"/>
        <w:rPr>
          <w:sz w:val="24"/>
          <w:szCs w:val="24"/>
        </w:rPr>
      </w:pPr>
      <w:r>
        <w:rPr>
          <w:sz w:val="24"/>
          <w:szCs w:val="24"/>
        </w:rPr>
        <w:t>U nastavku dajemo prikaz i obrazloženje programa i aktivnosti unutar ovog razdjela koji se mijenjaju:</w:t>
      </w:r>
    </w:p>
    <w:p>
      <w:pPr>
        <w:pStyle w:val="Stilnaslova4"/>
        <w:numPr>
          <w:ilvl w:val="0"/>
          <w:numId w:val="5"/>
        </w:numPr>
        <w:ind w:left="0" w:hanging="426"/>
        <w:rPr>
          <w:sz w:val="24"/>
          <w:szCs w:val="24"/>
        </w:rPr>
      </w:pPr>
      <w:bookmarkStart w:id="33" w:name="_Toc193725205"/>
      <w:bookmarkStart w:id="34" w:name="_Toc181712658"/>
      <w:r>
        <w:rPr>
          <w:rFonts w:ascii="Times New Roman" w:hAnsi="Times New Roman"/>
          <w:sz w:val="24"/>
          <w:szCs w:val="24"/>
        </w:rPr>
        <w:t>PROGRAM:  JAVNE POTREBU OBRAZOVANJU</w:t>
      </w:r>
      <w:bookmarkEnd w:id="33"/>
      <w:bookmarkEnd w:id="34"/>
    </w:p>
    <w:p>
      <w:pPr>
        <w:pStyle w:val="Normal"/>
        <w:ind w:left="0" w:hanging="0"/>
        <w:jc w:val="both"/>
        <w:rPr>
          <w:sz w:val="24"/>
          <w:szCs w:val="24"/>
        </w:rPr>
      </w:pPr>
      <w:r>
        <w:rPr>
          <w:b/>
          <w:bCs/>
          <w:sz w:val="24"/>
          <w:szCs w:val="24"/>
        </w:rPr>
        <w:t>ZAKONSKA OSNOVA</w:t>
      </w:r>
      <w:r>
        <w:rPr>
          <w:sz w:val="24"/>
          <w:szCs w:val="24"/>
        </w:rPr>
        <w:t xml:space="preserve">: </w:t>
      </w:r>
    </w:p>
    <w:p>
      <w:pPr>
        <w:pStyle w:val="Normal"/>
        <w:numPr>
          <w:ilvl w:val="0"/>
          <w:numId w:val="4"/>
        </w:numPr>
        <w:suppressAutoHyphens w:val="false"/>
        <w:spacing w:lineRule="auto" w:line="240" w:before="0" w:after="0"/>
        <w:ind w:left="0" w:hanging="294"/>
        <w:jc w:val="both"/>
        <w:rPr>
          <w:sz w:val="24"/>
          <w:szCs w:val="24"/>
        </w:rPr>
      </w:pPr>
      <w:r>
        <w:rPr>
          <w:rFonts w:cs="Calibri" w:cstheme="minorHAnsi"/>
          <w:sz w:val="24"/>
          <w:szCs w:val="24"/>
        </w:rPr>
        <w:t xml:space="preserve">Zakon o lokalnoj i područnoj (regionalnoj) samoupravi („Narodne novine“ br. 33/01, 60/01, 129/05, 109/07, 125/08, 36/09, 36/09, 150/11, 144/12, 19/13, 137/15, 123/17, 98/19, 144/20), </w:t>
      </w:r>
    </w:p>
    <w:p>
      <w:pPr>
        <w:pStyle w:val="Normal"/>
        <w:ind w:left="0" w:hanging="0"/>
        <w:jc w:val="both"/>
        <w:rPr>
          <w:sz w:val="24"/>
          <w:szCs w:val="24"/>
        </w:rPr>
      </w:pPr>
      <w:r>
        <w:rPr>
          <w:b/>
          <w:bCs/>
          <w:sz w:val="24"/>
          <w:szCs w:val="24"/>
        </w:rPr>
        <w:t>OPIS PROGRAMA</w:t>
      </w:r>
      <w:r>
        <w:rPr>
          <w:sz w:val="24"/>
          <w:szCs w:val="24"/>
        </w:rPr>
        <w:t xml:space="preserve">: Ovim programom osiguravaju se sredstva za aktivnosti i projekte iz područja predškolskog odgoja i obrazovanja iznad pedagoškog standarda.  Kroz ovaj program osiguravaju se sredstva za radionice u dječjim vrtićima, sredstva za plaću odgajateljice u vrtiću, sredstva za stipendije, za sufinanciranje prijevoza učenika srednjih škola,  radne bilježnice za učenike, preobuče za učenike i djecu u vrtiću, tekuće donacije školstvu i sl. Pregled aktivnosti planiranih u ovom programu dajemo u nastavku: </w:t>
      </w:r>
    </w:p>
    <w:p>
      <w:pPr>
        <w:pStyle w:val="Normal"/>
        <w:numPr>
          <w:ilvl w:val="0"/>
          <w:numId w:val="7"/>
        </w:numPr>
        <w:suppressAutoHyphens w:val="false"/>
        <w:spacing w:lineRule="auto" w:line="240" w:before="0" w:after="0"/>
        <w:ind w:left="0" w:hanging="283"/>
        <w:jc w:val="both"/>
        <w:rPr>
          <w:sz w:val="24"/>
          <w:szCs w:val="24"/>
        </w:rPr>
      </w:pPr>
      <w:r>
        <w:rPr>
          <w:sz w:val="24"/>
          <w:szCs w:val="24"/>
        </w:rPr>
        <w:t>Predškolski odgoj i obrazovanje iznad pedagoških standarda je aktivnost u kojoj su planirani rashodi za radionice u dječjim vrtićima, sredstva za stipendije, za sufinanciranje prijevoza učenika srednjih škola, tekuće donacije školstvu i sl.</w:t>
      </w:r>
    </w:p>
    <w:p>
      <w:pPr>
        <w:pStyle w:val="Normal"/>
        <w:spacing w:before="0" w:after="29"/>
        <w:ind w:left="0" w:hanging="0"/>
        <w:jc w:val="both"/>
        <w:rPr>
          <w:sz w:val="24"/>
          <w:szCs w:val="24"/>
        </w:rPr>
      </w:pPr>
      <w:r>
        <w:rPr>
          <w:b/>
          <w:bCs/>
          <w:sz w:val="24"/>
          <w:szCs w:val="24"/>
        </w:rPr>
        <w:t>CILJ PROGRAMA</w:t>
      </w:r>
    </w:p>
    <w:p>
      <w:pPr>
        <w:pStyle w:val="Normal"/>
        <w:spacing w:before="0" w:after="29"/>
        <w:ind w:left="0" w:hanging="0"/>
        <w:jc w:val="both"/>
        <w:rPr>
          <w:sz w:val="24"/>
          <w:szCs w:val="24"/>
        </w:rPr>
      </w:pPr>
      <w:r>
        <w:rPr>
          <w:sz w:val="24"/>
          <w:szCs w:val="24"/>
        </w:rPr>
        <w:t>Obavljanja poslova iz samoupravnog djelokruga i njihovo unaprjeđenje sa svrhom poboljšanja kvalitete usluge stanovnicima Općine.</w:t>
      </w:r>
    </w:p>
    <w:p>
      <w:pPr>
        <w:pStyle w:val="Normal"/>
        <w:ind w:left="0" w:hanging="0"/>
        <w:jc w:val="both"/>
        <w:rPr>
          <w:sz w:val="24"/>
          <w:szCs w:val="24"/>
        </w:rPr>
      </w:pPr>
      <w:r>
        <w:rPr>
          <w:b/>
          <w:bCs/>
          <w:sz w:val="24"/>
          <w:szCs w:val="24"/>
        </w:rPr>
        <w:t>POKAZATELJ USPJEŠNOSTI</w:t>
      </w:r>
    </w:p>
    <w:tbl>
      <w:tblPr>
        <w:tblW w:w="10493" w:type="dxa"/>
        <w:jc w:val="left"/>
        <w:tblInd w:w="216" w:type="dxa"/>
        <w:tblLayout w:type="fixed"/>
        <w:tblCellMar>
          <w:top w:w="0" w:type="dxa"/>
          <w:left w:w="108" w:type="dxa"/>
          <w:bottom w:w="0" w:type="dxa"/>
          <w:right w:w="108" w:type="dxa"/>
        </w:tblCellMar>
        <w:tblLook w:firstRow="1" w:noVBand="1" w:lastRow="0" w:firstColumn="1" w:lastColumn="0" w:noHBand="0" w:val="04a0"/>
      </w:tblPr>
      <w:tblGrid>
        <w:gridCol w:w="3543"/>
        <w:gridCol w:w="1559"/>
        <w:gridCol w:w="1275"/>
        <w:gridCol w:w="1134"/>
        <w:gridCol w:w="993"/>
        <w:gridCol w:w="995"/>
        <w:gridCol w:w="987"/>
        <w:gridCol w:w="6"/>
      </w:tblGrid>
      <w:tr>
        <w:trPr>
          <w:trHeight w:val="448" w:hRule="atLeast"/>
        </w:trPr>
        <w:tc>
          <w:tcPr>
            <w:tcW w:w="3543" w:type="dxa"/>
            <w:vMerge w:val="restart"/>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Aktivnost/ projekt</w:t>
            </w:r>
          </w:p>
        </w:tc>
        <w:tc>
          <w:tcPr>
            <w:tcW w:w="1559" w:type="dxa"/>
            <w:vMerge w:val="restart"/>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 xml:space="preserve">Pokazatelj rezultata </w:t>
            </w:r>
          </w:p>
        </w:tc>
        <w:tc>
          <w:tcPr>
            <w:tcW w:w="1275" w:type="dxa"/>
            <w:tcBorders/>
            <w:shd w:color="000000" w:fill="D9D9D9" w:val="clear"/>
          </w:tcPr>
          <w:p>
            <w:pPr>
              <w:pStyle w:val="Normal"/>
              <w:widowControl w:val="false"/>
              <w:spacing w:before="0" w:after="200"/>
              <w:ind w:left="0" w:hanging="0"/>
              <w:jc w:val="center"/>
              <w:rPr>
                <w:sz w:val="24"/>
                <w:szCs w:val="24"/>
              </w:rPr>
            </w:pPr>
            <w:r>
              <w:rPr>
                <w:b/>
                <w:bCs/>
                <w:sz w:val="24"/>
                <w:szCs w:val="24"/>
              </w:rPr>
              <w:t xml:space="preserve">Početna vrijednost </w:t>
            </w:r>
          </w:p>
        </w:tc>
        <w:tc>
          <w:tcPr>
            <w:tcW w:w="4109" w:type="dxa"/>
            <w:gridSpan w:val="4"/>
            <w:tcBorders/>
            <w:shd w:color="000000" w:fill="D9D9D9" w:val="clear"/>
          </w:tcPr>
          <w:p>
            <w:pPr>
              <w:pStyle w:val="Normal"/>
              <w:widowControl w:val="false"/>
              <w:spacing w:before="0" w:after="200"/>
              <w:ind w:left="0" w:hanging="0"/>
              <w:jc w:val="center"/>
              <w:rPr>
                <w:sz w:val="24"/>
                <w:szCs w:val="24"/>
              </w:rPr>
            </w:pPr>
            <w:r>
              <w:rPr>
                <w:b/>
                <w:bCs/>
                <w:sz w:val="24"/>
                <w:szCs w:val="24"/>
              </w:rPr>
              <w:t>CILJANA VRIJEDNOST</w:t>
            </w:r>
          </w:p>
        </w:tc>
        <w:tc>
          <w:tcPr>
            <w:tcW w:w="6" w:type="dxa"/>
            <w:tcBorders/>
          </w:tcPr>
          <w:p>
            <w:pPr>
              <w:pStyle w:val="Normal"/>
              <w:widowControl w:val="false"/>
              <w:spacing w:before="0" w:after="200"/>
              <w:ind w:left="0" w:hanging="0"/>
              <w:rPr>
                <w:sz w:val="24"/>
                <w:szCs w:val="24"/>
              </w:rPr>
            </w:pPr>
            <w:r>
              <w:rPr>
                <w:sz w:val="24"/>
                <w:szCs w:val="24"/>
              </w:rPr>
            </w:r>
          </w:p>
        </w:tc>
      </w:tr>
      <w:tr>
        <w:trPr>
          <w:trHeight w:val="390" w:hRule="atLeast"/>
        </w:trPr>
        <w:tc>
          <w:tcPr>
            <w:tcW w:w="3543" w:type="dxa"/>
            <w:vMerge w:val="continue"/>
            <w:tcBorders>
              <w:bottom w:val="single" w:sz="8" w:space="0" w:color="000000"/>
            </w:tcBorders>
            <w:vAlign w:val="center"/>
          </w:tcPr>
          <w:p>
            <w:pPr>
              <w:pStyle w:val="Normal"/>
              <w:widowControl w:val="false"/>
              <w:spacing w:before="0" w:after="200"/>
              <w:ind w:left="0" w:hanging="0"/>
              <w:rPr>
                <w:b/>
                <w:b/>
                <w:bCs/>
                <w:color w:val="000000"/>
                <w:sz w:val="24"/>
                <w:szCs w:val="24"/>
              </w:rPr>
            </w:pPr>
            <w:r>
              <w:rPr>
                <w:b/>
                <w:bCs/>
                <w:color w:val="000000"/>
                <w:sz w:val="24"/>
                <w:szCs w:val="24"/>
              </w:rPr>
            </w:r>
          </w:p>
        </w:tc>
        <w:tc>
          <w:tcPr>
            <w:tcW w:w="1559" w:type="dxa"/>
            <w:vMerge w:val="continue"/>
            <w:tcBorders>
              <w:bottom w:val="single" w:sz="8" w:space="0" w:color="000000"/>
            </w:tcBorders>
            <w:vAlign w:val="center"/>
          </w:tcPr>
          <w:p>
            <w:pPr>
              <w:pStyle w:val="Normal"/>
              <w:widowControl w:val="false"/>
              <w:spacing w:before="0" w:after="200"/>
              <w:ind w:left="0" w:hanging="0"/>
              <w:rPr>
                <w:b/>
                <w:b/>
                <w:bCs/>
                <w:color w:val="000000"/>
                <w:sz w:val="24"/>
                <w:szCs w:val="24"/>
              </w:rPr>
            </w:pPr>
            <w:r>
              <w:rPr>
                <w:b/>
                <w:bCs/>
                <w:color w:val="000000"/>
                <w:sz w:val="24"/>
                <w:szCs w:val="24"/>
              </w:rPr>
            </w:r>
          </w:p>
        </w:tc>
        <w:tc>
          <w:tcPr>
            <w:tcW w:w="1275" w:type="dxa"/>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2021</w:t>
            </w:r>
          </w:p>
        </w:tc>
        <w:tc>
          <w:tcPr>
            <w:tcW w:w="1134" w:type="dxa"/>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2022</w:t>
            </w:r>
          </w:p>
        </w:tc>
        <w:tc>
          <w:tcPr>
            <w:tcW w:w="993" w:type="dxa"/>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2025</w:t>
            </w:r>
          </w:p>
        </w:tc>
        <w:tc>
          <w:tcPr>
            <w:tcW w:w="995" w:type="dxa"/>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2025</w:t>
            </w:r>
          </w:p>
        </w:tc>
        <w:tc>
          <w:tcPr>
            <w:tcW w:w="993" w:type="dxa"/>
            <w:gridSpan w:val="2"/>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2026</w:t>
            </w:r>
          </w:p>
        </w:tc>
      </w:tr>
      <w:tr>
        <w:trPr>
          <w:trHeight w:val="188" w:hRule="atLeast"/>
        </w:trPr>
        <w:tc>
          <w:tcPr>
            <w:tcW w:w="3543" w:type="dxa"/>
            <w:tcBorders/>
          </w:tcPr>
          <w:p>
            <w:pPr>
              <w:pStyle w:val="Normal"/>
              <w:widowControl w:val="false"/>
              <w:spacing w:before="0" w:after="200"/>
              <w:ind w:left="0" w:hanging="0"/>
              <w:rPr>
                <w:sz w:val="24"/>
                <w:szCs w:val="24"/>
              </w:rPr>
            </w:pPr>
            <w:r>
              <w:rPr>
                <w:sz w:val="24"/>
                <w:szCs w:val="24"/>
              </w:rPr>
              <w:t>A100100 Priprema i donošenje akata</w:t>
              <w:br/>
            </w:r>
          </w:p>
        </w:tc>
        <w:tc>
          <w:tcPr>
            <w:tcW w:w="1559" w:type="dxa"/>
            <w:tcBorders/>
          </w:tcPr>
          <w:p>
            <w:pPr>
              <w:pStyle w:val="Normal"/>
              <w:widowControl w:val="false"/>
              <w:spacing w:before="0" w:after="200"/>
              <w:ind w:left="0" w:hanging="0"/>
              <w:rPr>
                <w:sz w:val="24"/>
                <w:szCs w:val="24"/>
              </w:rPr>
            </w:pPr>
            <w:r>
              <w:rPr>
                <w:sz w:val="24"/>
                <w:szCs w:val="24"/>
              </w:rPr>
              <w:t>Broj pisanih pritužbi građana na rad djelatnika</w:t>
            </w:r>
          </w:p>
        </w:tc>
        <w:tc>
          <w:tcPr>
            <w:tcW w:w="1275" w:type="dxa"/>
            <w:tcBorders/>
          </w:tcPr>
          <w:p>
            <w:pPr>
              <w:pStyle w:val="Normal"/>
              <w:widowControl w:val="false"/>
              <w:spacing w:before="0" w:after="200"/>
              <w:ind w:left="0" w:hanging="0"/>
              <w:jc w:val="right"/>
              <w:rPr>
                <w:sz w:val="24"/>
                <w:szCs w:val="24"/>
              </w:rPr>
            </w:pPr>
            <w:r>
              <w:rPr>
                <w:sz w:val="24"/>
                <w:szCs w:val="24"/>
              </w:rPr>
              <w:t>0</w:t>
            </w:r>
          </w:p>
        </w:tc>
        <w:tc>
          <w:tcPr>
            <w:tcW w:w="1134" w:type="dxa"/>
            <w:tcBorders/>
          </w:tcPr>
          <w:p>
            <w:pPr>
              <w:pStyle w:val="Normal"/>
              <w:widowControl w:val="false"/>
              <w:spacing w:before="0" w:after="200"/>
              <w:ind w:left="0" w:hanging="0"/>
              <w:jc w:val="right"/>
              <w:rPr>
                <w:sz w:val="24"/>
                <w:szCs w:val="24"/>
              </w:rPr>
            </w:pPr>
            <w:r>
              <w:rPr>
                <w:sz w:val="24"/>
                <w:szCs w:val="24"/>
              </w:rPr>
              <w:t>0</w:t>
            </w:r>
          </w:p>
        </w:tc>
        <w:tc>
          <w:tcPr>
            <w:tcW w:w="993" w:type="dxa"/>
            <w:tcBorders/>
          </w:tcPr>
          <w:p>
            <w:pPr>
              <w:pStyle w:val="Normal"/>
              <w:widowControl w:val="false"/>
              <w:spacing w:before="0" w:after="200"/>
              <w:ind w:left="0" w:hanging="0"/>
              <w:jc w:val="right"/>
              <w:rPr>
                <w:sz w:val="24"/>
                <w:szCs w:val="24"/>
              </w:rPr>
            </w:pPr>
            <w:r>
              <w:rPr>
                <w:sz w:val="24"/>
                <w:szCs w:val="24"/>
              </w:rPr>
              <w:t>0</w:t>
            </w:r>
          </w:p>
        </w:tc>
        <w:tc>
          <w:tcPr>
            <w:tcW w:w="995" w:type="dxa"/>
            <w:tcBorders/>
          </w:tcPr>
          <w:p>
            <w:pPr>
              <w:pStyle w:val="Normal"/>
              <w:widowControl w:val="false"/>
              <w:spacing w:before="0" w:after="200"/>
              <w:ind w:left="0" w:hanging="0"/>
              <w:jc w:val="right"/>
              <w:rPr>
                <w:sz w:val="24"/>
                <w:szCs w:val="24"/>
              </w:rPr>
            </w:pPr>
            <w:r>
              <w:rPr>
                <w:sz w:val="24"/>
                <w:szCs w:val="24"/>
              </w:rPr>
              <w:t>0</w:t>
            </w:r>
          </w:p>
        </w:tc>
        <w:tc>
          <w:tcPr>
            <w:tcW w:w="993" w:type="dxa"/>
            <w:gridSpan w:val="2"/>
            <w:tcBorders/>
          </w:tcPr>
          <w:p>
            <w:pPr>
              <w:pStyle w:val="Normal"/>
              <w:widowControl w:val="false"/>
              <w:spacing w:before="0" w:after="200"/>
              <w:ind w:left="0" w:hanging="0"/>
              <w:jc w:val="right"/>
              <w:rPr>
                <w:sz w:val="24"/>
                <w:szCs w:val="24"/>
              </w:rPr>
            </w:pPr>
            <w:r>
              <w:rPr>
                <w:sz w:val="24"/>
                <w:szCs w:val="24"/>
              </w:rPr>
              <w:t>0</w:t>
            </w:r>
          </w:p>
        </w:tc>
      </w:tr>
    </w:tbl>
    <w:p>
      <w:pPr>
        <w:pStyle w:val="Normal"/>
        <w:ind w:left="0" w:hanging="0"/>
        <w:rPr>
          <w:sz w:val="24"/>
          <w:szCs w:val="24"/>
        </w:rPr>
      </w:pPr>
      <w:r>
        <w:rPr>
          <w:sz w:val="24"/>
          <w:szCs w:val="24"/>
        </w:rPr>
      </w:r>
    </w:p>
    <w:p>
      <w:pPr>
        <w:pStyle w:val="Stilnaslova4"/>
        <w:numPr>
          <w:ilvl w:val="0"/>
          <w:numId w:val="5"/>
        </w:numPr>
        <w:ind w:left="0" w:hanging="426"/>
        <w:rPr>
          <w:sz w:val="24"/>
          <w:szCs w:val="24"/>
        </w:rPr>
      </w:pPr>
      <w:r>
        <w:rPr>
          <w:rFonts w:cs="Calibri" w:cstheme="minorHAnsi"/>
          <w:sz w:val="24"/>
          <w:szCs w:val="24"/>
        </w:rPr>
        <w:t>PROGRAM:  Održavanje objekata i uređenje infrastrukture</w:t>
      </w:r>
    </w:p>
    <w:p>
      <w:pPr>
        <w:pStyle w:val="Normal"/>
        <w:ind w:left="0" w:hanging="0"/>
        <w:jc w:val="both"/>
        <w:rPr>
          <w:sz w:val="24"/>
          <w:szCs w:val="24"/>
        </w:rPr>
      </w:pPr>
      <w:r>
        <w:rPr>
          <w:b/>
          <w:bCs/>
          <w:sz w:val="24"/>
          <w:szCs w:val="24"/>
        </w:rPr>
        <w:t>ZAKONSKA OSNOVA</w:t>
      </w:r>
      <w:r>
        <w:rPr>
          <w:sz w:val="24"/>
          <w:szCs w:val="24"/>
        </w:rPr>
        <w:t xml:space="preserve">: </w:t>
      </w:r>
    </w:p>
    <w:p>
      <w:pPr>
        <w:pStyle w:val="ListParagraph"/>
        <w:numPr>
          <w:ilvl w:val="0"/>
          <w:numId w:val="4"/>
        </w:numPr>
        <w:suppressAutoHyphens w:val="true"/>
        <w:spacing w:lineRule="atLeast" w:line="100"/>
        <w:ind w:left="0" w:hanging="294"/>
        <w:jc w:val="both"/>
        <w:rPr>
          <w:sz w:val="24"/>
          <w:szCs w:val="24"/>
        </w:rPr>
      </w:pPr>
      <w:r>
        <w:rPr>
          <w:rFonts w:cs="Calibri" w:ascii="Calibri" w:hAnsi="Calibri" w:asciiTheme="minorHAnsi" w:cstheme="minorHAnsi" w:hAnsiTheme="minorHAnsi"/>
          <w:sz w:val="24"/>
          <w:szCs w:val="24"/>
        </w:rPr>
        <w:t xml:space="preserve">Zakon o komunalnom gospodarstvu („Narodne novine“ br. 68/18, 110/18, 32/20), </w:t>
      </w:r>
    </w:p>
    <w:p>
      <w:pPr>
        <w:pStyle w:val="ListParagraph"/>
        <w:numPr>
          <w:ilvl w:val="0"/>
          <w:numId w:val="4"/>
        </w:numPr>
        <w:suppressAutoHyphens w:val="true"/>
        <w:spacing w:lineRule="atLeast" w:line="100"/>
        <w:ind w:left="0" w:hanging="294"/>
        <w:jc w:val="both"/>
        <w:rPr>
          <w:sz w:val="24"/>
          <w:szCs w:val="24"/>
        </w:rPr>
      </w:pPr>
      <w:r>
        <w:rPr>
          <w:rFonts w:cs="Calibri" w:ascii="Calibri" w:hAnsi="Calibri" w:asciiTheme="minorHAnsi" w:cstheme="minorHAnsi" w:hAnsiTheme="minorHAnsi"/>
          <w:sz w:val="24"/>
          <w:szCs w:val="24"/>
        </w:rPr>
        <w:t>Zakon o zaštiti od svjetlosnog onečišćenja (NN 14/19),</w:t>
      </w:r>
    </w:p>
    <w:p>
      <w:pPr>
        <w:pStyle w:val="ListParagraph"/>
        <w:numPr>
          <w:ilvl w:val="0"/>
          <w:numId w:val="4"/>
        </w:numPr>
        <w:suppressAutoHyphens w:val="true"/>
        <w:spacing w:lineRule="atLeast" w:line="100"/>
        <w:ind w:left="0" w:hanging="360"/>
        <w:jc w:val="both"/>
        <w:rPr>
          <w:sz w:val="24"/>
          <w:szCs w:val="24"/>
        </w:rPr>
      </w:pPr>
      <w:r>
        <w:rPr>
          <w:rFonts w:cs="Calibri" w:ascii="Calibri" w:hAnsi="Calibri" w:asciiTheme="minorHAnsi" w:cstheme="minorHAnsi" w:hAnsiTheme="minorHAnsi"/>
          <w:sz w:val="24"/>
          <w:szCs w:val="24"/>
        </w:rPr>
        <w:t>Zakon o cestama („Narodne novine“ br. 84/11, 22/13, 54/13, 148/13, 92/14, 110/19, 144/21, 114/22, 114/22, 04/23, 133/23),</w:t>
      </w:r>
      <w:r>
        <w:rPr>
          <w:rFonts w:cs="Calibri" w:ascii="Calibri" w:hAnsi="Calibri" w:asciiTheme="minorHAnsi" w:cstheme="minorHAnsi" w:hAnsiTheme="minorHAnsi"/>
          <w:color w:val="00B0F0"/>
          <w:sz w:val="24"/>
          <w:szCs w:val="24"/>
        </w:rPr>
        <w:t xml:space="preserve"> </w:t>
      </w:r>
    </w:p>
    <w:p>
      <w:pPr>
        <w:pStyle w:val="ListParagraph"/>
        <w:numPr>
          <w:ilvl w:val="0"/>
          <w:numId w:val="4"/>
        </w:numPr>
        <w:suppressAutoHyphens w:val="true"/>
        <w:spacing w:lineRule="atLeast" w:line="100"/>
        <w:ind w:left="0" w:hanging="360"/>
        <w:jc w:val="both"/>
        <w:rPr>
          <w:sz w:val="24"/>
          <w:szCs w:val="24"/>
        </w:rPr>
      </w:pPr>
      <w:r>
        <w:rPr>
          <w:rFonts w:cs="Calibri" w:ascii="Calibri" w:hAnsi="Calibri" w:asciiTheme="minorHAnsi" w:cstheme="minorHAnsi" w:hAnsiTheme="minorHAnsi"/>
          <w:sz w:val="24"/>
          <w:szCs w:val="24"/>
        </w:rPr>
        <w:t>Z</w:t>
      </w:r>
      <w:r>
        <w:rPr>
          <w:rFonts w:cs="Calibri" w:ascii="Calibri" w:hAnsi="Calibri" w:asciiTheme="minorHAnsi" w:cstheme="minorHAnsi" w:hAnsiTheme="minorHAnsi"/>
          <w:bCs/>
          <w:sz w:val="24"/>
          <w:szCs w:val="24"/>
        </w:rPr>
        <w:t>akon o sigurnosti prometa na cestama</w:t>
      </w:r>
      <w:r>
        <w:rPr>
          <w:rFonts w:cs="Calibri" w:ascii="Calibri" w:hAnsi="Calibri" w:asciiTheme="minorHAnsi" w:cstheme="minorHAnsi" w:hAnsiTheme="minorHAnsi"/>
          <w:sz w:val="24"/>
          <w:szCs w:val="24"/>
          <w:shd w:fill="FFFFFF" w:val="clear"/>
        </w:rPr>
        <w:t xml:space="preserve"> </w:t>
      </w:r>
      <w:r>
        <w:rPr>
          <w:rFonts w:cs="Calibri" w:ascii="Calibri" w:hAnsi="Calibri" w:asciiTheme="minorHAnsi" w:cstheme="minorHAnsi" w:hAnsiTheme="minorHAnsi"/>
          <w:sz w:val="24"/>
          <w:szCs w:val="24"/>
        </w:rPr>
        <w:t>(„Narodne novine“ br. 67/08, 48/10, 74/11, 80/13, 158/13, 92/14, 64/15, 108/17, 70/19, 42/20, 85/22, 114/22, 133/23</w:t>
      </w:r>
      <w:r>
        <w:rPr>
          <w:rFonts w:cs="Calibri" w:ascii="Calibri" w:hAnsi="Calibri" w:asciiTheme="minorHAnsi" w:cstheme="minorHAnsi" w:hAnsiTheme="minorHAnsi"/>
          <w:sz w:val="24"/>
          <w:szCs w:val="24"/>
          <w:shd w:fill="FFFFFF" w:val="clear"/>
        </w:rPr>
        <w:t> </w:t>
      </w:r>
      <w:r>
        <w:rPr>
          <w:rFonts w:cs="Calibri" w:ascii="Calibri" w:hAnsi="Calibri" w:asciiTheme="minorHAnsi" w:cstheme="minorHAnsi" w:hAnsiTheme="minorHAnsi"/>
          <w:sz w:val="24"/>
          <w:szCs w:val="24"/>
        </w:rPr>
        <w:t>)</w:t>
      </w:r>
      <w:r>
        <w:rPr>
          <w:rFonts w:cs="Calibri" w:ascii="Calibri" w:hAnsi="Calibri" w:asciiTheme="minorHAnsi" w:cstheme="minorHAnsi" w:hAnsiTheme="minorHAnsi"/>
          <w:bCs/>
          <w:sz w:val="24"/>
          <w:szCs w:val="24"/>
        </w:rPr>
        <w:t xml:space="preserve">, </w:t>
      </w:r>
    </w:p>
    <w:p>
      <w:pPr>
        <w:pStyle w:val="ListParagraph"/>
        <w:numPr>
          <w:ilvl w:val="0"/>
          <w:numId w:val="0"/>
        </w:numPr>
        <w:suppressAutoHyphens w:val="true"/>
        <w:ind w:left="0" w:hanging="0"/>
        <w:jc w:val="both"/>
        <w:outlineLvl w:val="0"/>
        <w:rPr>
          <w:iCs/>
          <w:color w:val="00B0F0"/>
          <w:sz w:val="24"/>
          <w:szCs w:val="24"/>
        </w:rPr>
      </w:pPr>
      <w:r>
        <w:rPr>
          <w:iCs/>
          <w:color w:val="00B0F0"/>
          <w:sz w:val="24"/>
          <w:szCs w:val="24"/>
        </w:rPr>
      </w:r>
    </w:p>
    <w:p>
      <w:pPr>
        <w:pStyle w:val="Normal"/>
        <w:ind w:left="0" w:hanging="0"/>
        <w:rPr>
          <w:sz w:val="24"/>
          <w:szCs w:val="24"/>
        </w:rPr>
      </w:pPr>
      <w:r>
        <w:rPr>
          <w:b/>
          <w:bCs/>
          <w:sz w:val="24"/>
          <w:szCs w:val="24"/>
        </w:rPr>
        <w:t>OPIS PROGRAMA</w:t>
      </w:r>
      <w:r>
        <w:rPr>
          <w:sz w:val="24"/>
          <w:szCs w:val="24"/>
        </w:rPr>
        <w:t xml:space="preserve">: Ovim programom osiguravaju se sredstva rekonstrukciju, izgradnju i opremanje komunalne infrastrukture. </w:t>
      </w:r>
    </w:p>
    <w:p>
      <w:pPr>
        <w:pStyle w:val="Normal"/>
        <w:ind w:left="0" w:hanging="0"/>
        <w:rPr>
          <w:sz w:val="24"/>
          <w:szCs w:val="24"/>
        </w:rPr>
      </w:pPr>
      <w:r>
        <w:rPr>
          <w:b/>
          <w:bCs/>
          <w:i/>
          <w:iCs/>
          <w:sz w:val="24"/>
          <w:szCs w:val="24"/>
        </w:rPr>
        <w:t>U okviru ovog programa planirane su aktivnosti:</w:t>
      </w:r>
    </w:p>
    <w:p>
      <w:pPr>
        <w:pStyle w:val="ListParagraph"/>
        <w:numPr>
          <w:ilvl w:val="0"/>
          <w:numId w:val="8"/>
        </w:numPr>
        <w:ind w:left="0" w:hanging="360"/>
        <w:jc w:val="both"/>
        <w:rPr>
          <w:sz w:val="24"/>
          <w:szCs w:val="24"/>
        </w:rPr>
      </w:pPr>
      <w:r>
        <w:rPr>
          <w:rFonts w:cs="Calibri" w:ascii="Calibri" w:hAnsi="Calibri" w:asciiTheme="minorHAnsi" w:cstheme="minorHAnsi" w:hAnsiTheme="minorHAnsi"/>
          <w:sz w:val="24"/>
          <w:szCs w:val="24"/>
        </w:rPr>
        <w:t xml:space="preserve">Sanacije pješačkih staza </w:t>
        <w:tab/>
        <w:tab/>
        <w:tab/>
        <w:tab/>
        <w:t>20.000,00</w:t>
      </w:r>
    </w:p>
    <w:p>
      <w:pPr>
        <w:pStyle w:val="ListParagraph"/>
        <w:numPr>
          <w:ilvl w:val="0"/>
          <w:numId w:val="8"/>
        </w:numPr>
        <w:ind w:left="0" w:hanging="360"/>
        <w:jc w:val="both"/>
        <w:rPr>
          <w:sz w:val="24"/>
          <w:szCs w:val="24"/>
        </w:rPr>
      </w:pPr>
      <w:r>
        <w:rPr>
          <w:rFonts w:cs="Calibri" w:ascii="Calibri" w:hAnsi="Calibri" w:asciiTheme="minorHAnsi" w:cstheme="minorHAnsi" w:hAnsiTheme="minorHAnsi"/>
          <w:sz w:val="24"/>
          <w:szCs w:val="24"/>
        </w:rPr>
        <w:t>Rekonstrukcija Etno kuće – Dom kultture</w:t>
        <w:tab/>
        <w:t xml:space="preserve">            250.000,00</w:t>
      </w:r>
    </w:p>
    <w:p>
      <w:pPr>
        <w:pStyle w:val="ListParagraph"/>
        <w:numPr>
          <w:ilvl w:val="0"/>
          <w:numId w:val="8"/>
        </w:numPr>
        <w:ind w:left="0" w:hanging="360"/>
        <w:jc w:val="both"/>
        <w:rPr>
          <w:sz w:val="24"/>
          <w:szCs w:val="24"/>
        </w:rPr>
      </w:pPr>
      <w:r>
        <w:rPr>
          <w:rFonts w:cs="Calibri" w:ascii="Calibri" w:hAnsi="Calibri" w:asciiTheme="minorHAnsi" w:cstheme="minorHAnsi" w:hAnsiTheme="minorHAnsi"/>
          <w:sz w:val="24"/>
          <w:szCs w:val="24"/>
        </w:rPr>
        <w:t xml:space="preserve">Uređenje fasade Projekt centar   </w:t>
        <w:tab/>
        <w:t xml:space="preserve">            </w:t>
        <w:tab/>
        <w:t xml:space="preserve">              20.000,00</w:t>
      </w:r>
    </w:p>
    <w:p>
      <w:pPr>
        <w:pStyle w:val="ListParagraph"/>
        <w:numPr>
          <w:ilvl w:val="0"/>
          <w:numId w:val="8"/>
        </w:numPr>
        <w:ind w:left="0" w:hanging="360"/>
        <w:jc w:val="both"/>
        <w:rPr>
          <w:sz w:val="24"/>
          <w:szCs w:val="24"/>
        </w:rPr>
      </w:pPr>
      <w:r>
        <w:rPr>
          <w:rFonts w:cs="Calibri" w:ascii="Calibri" w:hAnsi="Calibri" w:asciiTheme="minorHAnsi" w:cstheme="minorHAnsi" w:hAnsiTheme="minorHAnsi"/>
          <w:sz w:val="24"/>
          <w:szCs w:val="24"/>
        </w:rPr>
        <w:t>Sanacija društvenog doma</w:t>
        <w:tab/>
        <w:tab/>
        <w:tab/>
        <w:tab/>
        <w:t>13.700,00</w:t>
      </w:r>
    </w:p>
    <w:p>
      <w:pPr>
        <w:pStyle w:val="ListParagraph"/>
        <w:numPr>
          <w:ilvl w:val="0"/>
          <w:numId w:val="8"/>
        </w:numPr>
        <w:ind w:left="0" w:hanging="360"/>
        <w:jc w:val="both"/>
        <w:rPr>
          <w:sz w:val="24"/>
          <w:szCs w:val="24"/>
        </w:rPr>
      </w:pPr>
      <w:r>
        <w:rPr>
          <w:rFonts w:cs="Calibri" w:ascii="Calibri" w:hAnsi="Calibri" w:asciiTheme="minorHAnsi" w:cstheme="minorHAnsi" w:hAnsiTheme="minorHAnsi"/>
          <w:sz w:val="24"/>
          <w:szCs w:val="24"/>
        </w:rPr>
        <w:t>Rekonstrukcija igrališta – umjetna trava</w:t>
        <w:tab/>
        <w:t xml:space="preserve">            102.000,00</w:t>
      </w:r>
    </w:p>
    <w:p>
      <w:pPr>
        <w:pStyle w:val="Normal"/>
        <w:tabs>
          <w:tab w:val="clear" w:pos="709"/>
          <w:tab w:val="left" w:pos="1595" w:leader="none"/>
        </w:tabs>
        <w:spacing w:lineRule="auto" w:line="276" w:before="0" w:after="0"/>
        <w:ind w:left="0" w:hanging="0"/>
        <w:jc w:val="both"/>
        <w:rPr>
          <w:sz w:val="24"/>
          <w:szCs w:val="24"/>
        </w:rPr>
      </w:pPr>
      <w:r>
        <w:rPr>
          <w:b/>
          <w:bCs/>
          <w:sz w:val="24"/>
          <w:szCs w:val="24"/>
        </w:rPr>
        <w:t>CILJ PROGRAMA</w:t>
      </w:r>
    </w:p>
    <w:p>
      <w:pPr>
        <w:pStyle w:val="Normal"/>
        <w:tabs>
          <w:tab w:val="clear" w:pos="709"/>
          <w:tab w:val="left" w:pos="1595" w:leader="none"/>
        </w:tabs>
        <w:spacing w:lineRule="auto" w:line="276" w:before="0" w:after="0"/>
        <w:ind w:left="0" w:hanging="0"/>
        <w:jc w:val="both"/>
        <w:rPr>
          <w:sz w:val="24"/>
          <w:szCs w:val="24"/>
        </w:rPr>
      </w:pPr>
      <w:r>
        <w:rPr>
          <w:sz w:val="24"/>
          <w:szCs w:val="24"/>
        </w:rPr>
        <w:t>Poboljšanje dostupnosti i kvalitete stanovanja, uređenje i opremanje naselja s ciljem boljih životnih uvjeta za stanovnike.</w:t>
      </w:r>
    </w:p>
    <w:p>
      <w:pPr>
        <w:pStyle w:val="Normal"/>
        <w:ind w:left="0" w:hanging="0"/>
        <w:jc w:val="both"/>
        <w:rPr>
          <w:sz w:val="24"/>
          <w:szCs w:val="24"/>
        </w:rPr>
      </w:pPr>
      <w:r>
        <w:rPr>
          <w:b/>
          <w:bCs/>
          <w:sz w:val="24"/>
          <w:szCs w:val="24"/>
        </w:rPr>
        <w:t>POKAZATELJ USPJEŠNOSTI</w:t>
      </w:r>
    </w:p>
    <w:tbl>
      <w:tblPr>
        <w:tblW w:w="10632" w:type="dxa"/>
        <w:jc w:val="left"/>
        <w:tblInd w:w="216" w:type="dxa"/>
        <w:tblLayout w:type="fixed"/>
        <w:tblCellMar>
          <w:top w:w="0" w:type="dxa"/>
          <w:left w:w="108" w:type="dxa"/>
          <w:bottom w:w="0" w:type="dxa"/>
          <w:right w:w="108" w:type="dxa"/>
        </w:tblCellMar>
        <w:tblLook w:firstRow="1" w:noVBand="1" w:lastRow="0" w:firstColumn="1" w:lastColumn="0" w:noHBand="0" w:val="04a0"/>
      </w:tblPr>
      <w:tblGrid>
        <w:gridCol w:w="3538"/>
        <w:gridCol w:w="3114"/>
        <w:gridCol w:w="1275"/>
        <w:gridCol w:w="708"/>
        <w:gridCol w:w="623"/>
        <w:gridCol w:w="623"/>
        <w:gridCol w:w="750"/>
      </w:tblGrid>
      <w:tr>
        <w:trPr>
          <w:trHeight w:val="576" w:hRule="atLeast"/>
        </w:trPr>
        <w:tc>
          <w:tcPr>
            <w:tcW w:w="3538" w:type="dxa"/>
            <w:vMerge w:val="restart"/>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Aktivnost/ projekt</w:t>
            </w:r>
          </w:p>
        </w:tc>
        <w:tc>
          <w:tcPr>
            <w:tcW w:w="3114" w:type="dxa"/>
            <w:vMerge w:val="restart"/>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 xml:space="preserve">Pokazatelj rezultata </w:t>
            </w:r>
          </w:p>
        </w:tc>
        <w:tc>
          <w:tcPr>
            <w:tcW w:w="1275" w:type="dxa"/>
            <w:tcBorders/>
            <w:shd w:color="000000" w:fill="D9D9D9" w:val="clear"/>
          </w:tcPr>
          <w:p>
            <w:pPr>
              <w:pStyle w:val="Normal"/>
              <w:widowControl w:val="false"/>
              <w:spacing w:before="0" w:after="200"/>
              <w:ind w:left="0" w:hanging="0"/>
              <w:jc w:val="center"/>
              <w:rPr>
                <w:sz w:val="24"/>
                <w:szCs w:val="24"/>
              </w:rPr>
            </w:pPr>
            <w:r>
              <w:rPr>
                <w:b/>
                <w:bCs/>
                <w:sz w:val="24"/>
                <w:szCs w:val="24"/>
              </w:rPr>
              <w:t xml:space="preserve">Početna vrijednost </w:t>
            </w:r>
          </w:p>
        </w:tc>
        <w:tc>
          <w:tcPr>
            <w:tcW w:w="2704" w:type="dxa"/>
            <w:gridSpan w:val="4"/>
            <w:tcBorders/>
            <w:shd w:color="000000" w:fill="D9D9D9" w:val="clear"/>
          </w:tcPr>
          <w:p>
            <w:pPr>
              <w:pStyle w:val="Normal"/>
              <w:widowControl w:val="false"/>
              <w:spacing w:before="0" w:after="200"/>
              <w:ind w:left="0" w:hanging="0"/>
              <w:jc w:val="center"/>
              <w:rPr>
                <w:sz w:val="24"/>
                <w:szCs w:val="24"/>
              </w:rPr>
            </w:pPr>
            <w:r>
              <w:rPr>
                <w:b/>
                <w:bCs/>
                <w:sz w:val="24"/>
                <w:szCs w:val="24"/>
              </w:rPr>
              <w:t>CILJANA VRIJEDNOST</w:t>
            </w:r>
          </w:p>
        </w:tc>
      </w:tr>
      <w:tr>
        <w:trPr>
          <w:trHeight w:val="390" w:hRule="atLeast"/>
        </w:trPr>
        <w:tc>
          <w:tcPr>
            <w:tcW w:w="3538" w:type="dxa"/>
            <w:vMerge w:val="continue"/>
            <w:tcBorders>
              <w:bottom w:val="single" w:sz="8" w:space="0" w:color="000000"/>
            </w:tcBorders>
            <w:vAlign w:val="center"/>
          </w:tcPr>
          <w:p>
            <w:pPr>
              <w:pStyle w:val="Normal"/>
              <w:widowControl w:val="false"/>
              <w:spacing w:before="0" w:after="200"/>
              <w:ind w:left="0" w:hanging="0"/>
              <w:rPr>
                <w:b/>
                <w:b/>
                <w:bCs/>
                <w:color w:val="000000"/>
                <w:sz w:val="24"/>
                <w:szCs w:val="24"/>
              </w:rPr>
            </w:pPr>
            <w:r>
              <w:rPr>
                <w:b/>
                <w:bCs/>
                <w:color w:val="000000"/>
                <w:sz w:val="24"/>
                <w:szCs w:val="24"/>
              </w:rPr>
            </w:r>
          </w:p>
        </w:tc>
        <w:tc>
          <w:tcPr>
            <w:tcW w:w="3114" w:type="dxa"/>
            <w:vMerge w:val="continue"/>
            <w:tcBorders>
              <w:bottom w:val="single" w:sz="8" w:space="0" w:color="000000"/>
            </w:tcBorders>
            <w:vAlign w:val="center"/>
          </w:tcPr>
          <w:p>
            <w:pPr>
              <w:pStyle w:val="Normal"/>
              <w:widowControl w:val="false"/>
              <w:spacing w:before="0" w:after="200"/>
              <w:ind w:left="0" w:hanging="0"/>
              <w:rPr>
                <w:b/>
                <w:b/>
                <w:bCs/>
                <w:color w:val="000000"/>
                <w:sz w:val="24"/>
                <w:szCs w:val="24"/>
              </w:rPr>
            </w:pPr>
            <w:r>
              <w:rPr>
                <w:b/>
                <w:bCs/>
                <w:color w:val="000000"/>
                <w:sz w:val="24"/>
                <w:szCs w:val="24"/>
              </w:rPr>
            </w:r>
          </w:p>
        </w:tc>
        <w:tc>
          <w:tcPr>
            <w:tcW w:w="1275" w:type="dxa"/>
            <w:tcBorders>
              <w:bottom w:val="single" w:sz="8" w:space="0" w:color="000000"/>
            </w:tcBorders>
            <w:shd w:color="000000" w:fill="D9D9D9" w:val="clear"/>
          </w:tcPr>
          <w:p>
            <w:pPr>
              <w:pStyle w:val="Normal"/>
              <w:widowControl w:val="false"/>
              <w:spacing w:before="0" w:after="200"/>
              <w:ind w:left="0" w:hanging="0"/>
              <w:jc w:val="right"/>
              <w:rPr>
                <w:sz w:val="24"/>
                <w:szCs w:val="24"/>
              </w:rPr>
            </w:pPr>
            <w:r>
              <w:rPr>
                <w:b/>
                <w:bCs/>
                <w:color w:val="000000"/>
                <w:sz w:val="24"/>
                <w:szCs w:val="24"/>
              </w:rPr>
              <w:t>2021</w:t>
            </w:r>
          </w:p>
        </w:tc>
        <w:tc>
          <w:tcPr>
            <w:tcW w:w="708" w:type="dxa"/>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2024</w:t>
            </w:r>
          </w:p>
        </w:tc>
        <w:tc>
          <w:tcPr>
            <w:tcW w:w="623" w:type="dxa"/>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2025</w:t>
            </w:r>
          </w:p>
        </w:tc>
        <w:tc>
          <w:tcPr>
            <w:tcW w:w="623" w:type="dxa"/>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2026</w:t>
            </w:r>
          </w:p>
        </w:tc>
        <w:tc>
          <w:tcPr>
            <w:tcW w:w="750" w:type="dxa"/>
            <w:tcBorders>
              <w:bottom w:val="single" w:sz="8" w:space="0" w:color="000000"/>
            </w:tcBorders>
            <w:shd w:color="000000" w:fill="D9D9D9" w:val="clear"/>
          </w:tcPr>
          <w:p>
            <w:pPr>
              <w:pStyle w:val="Normal"/>
              <w:widowControl w:val="false"/>
              <w:spacing w:before="0" w:after="200"/>
              <w:ind w:left="0" w:hanging="0"/>
              <w:jc w:val="center"/>
              <w:rPr>
                <w:sz w:val="24"/>
                <w:szCs w:val="24"/>
              </w:rPr>
            </w:pPr>
            <w:r>
              <w:rPr>
                <w:b/>
                <w:bCs/>
                <w:color w:val="000000"/>
                <w:sz w:val="24"/>
                <w:szCs w:val="24"/>
              </w:rPr>
              <w:t>2027</w:t>
            </w:r>
          </w:p>
        </w:tc>
      </w:tr>
      <w:tr>
        <w:trPr>
          <w:trHeight w:val="273" w:hRule="atLeast"/>
        </w:trPr>
        <w:tc>
          <w:tcPr>
            <w:tcW w:w="3538" w:type="dxa"/>
            <w:tcBorders/>
            <w:shd w:color="000000" w:fill="FFFFFF" w:val="clear"/>
          </w:tcPr>
          <w:p>
            <w:pPr>
              <w:pStyle w:val="Normal"/>
              <w:widowControl w:val="false"/>
              <w:spacing w:before="0" w:after="200"/>
              <w:ind w:left="0" w:hanging="0"/>
              <w:rPr>
                <w:sz w:val="24"/>
                <w:szCs w:val="24"/>
              </w:rPr>
            </w:pPr>
            <w:r>
              <w:rPr>
                <w:color w:val="000000"/>
                <w:sz w:val="24"/>
                <w:szCs w:val="24"/>
              </w:rPr>
              <w:t>Kapitalni projekt Rekonstrukcija Etno kuće</w:t>
            </w:r>
          </w:p>
        </w:tc>
        <w:tc>
          <w:tcPr>
            <w:tcW w:w="3114" w:type="dxa"/>
            <w:tcBorders/>
            <w:shd w:color="000000" w:fill="FFFFFF" w:val="clear"/>
          </w:tcPr>
          <w:p>
            <w:pPr>
              <w:pStyle w:val="Normal"/>
              <w:widowControl w:val="false"/>
              <w:spacing w:before="0" w:after="200"/>
              <w:ind w:left="0" w:hanging="0"/>
              <w:rPr>
                <w:sz w:val="24"/>
                <w:szCs w:val="24"/>
              </w:rPr>
            </w:pPr>
            <w:r>
              <w:rPr>
                <w:sz w:val="24"/>
                <w:szCs w:val="24"/>
              </w:rPr>
              <w:t xml:space="preserve">Postotak izgradnje </w:t>
            </w:r>
          </w:p>
        </w:tc>
        <w:tc>
          <w:tcPr>
            <w:tcW w:w="1275" w:type="dxa"/>
            <w:tcBorders/>
            <w:shd w:color="000000" w:fill="FFFFFF" w:val="clear"/>
          </w:tcPr>
          <w:p>
            <w:pPr>
              <w:pStyle w:val="Normal"/>
              <w:widowControl w:val="false"/>
              <w:spacing w:before="0" w:after="200"/>
              <w:ind w:left="0" w:hanging="0"/>
              <w:jc w:val="right"/>
              <w:rPr>
                <w:sz w:val="24"/>
                <w:szCs w:val="24"/>
              </w:rPr>
            </w:pPr>
            <w:r>
              <w:rPr>
                <w:sz w:val="24"/>
                <w:szCs w:val="24"/>
              </w:rPr>
              <w:t>0</w:t>
            </w:r>
          </w:p>
        </w:tc>
        <w:tc>
          <w:tcPr>
            <w:tcW w:w="708" w:type="dxa"/>
            <w:tcBorders/>
            <w:shd w:color="000000" w:fill="FFFFFF" w:val="clear"/>
          </w:tcPr>
          <w:p>
            <w:pPr>
              <w:pStyle w:val="Normal"/>
              <w:widowControl w:val="false"/>
              <w:spacing w:before="0" w:after="200"/>
              <w:ind w:left="0" w:hanging="0"/>
              <w:jc w:val="right"/>
              <w:rPr>
                <w:sz w:val="24"/>
                <w:szCs w:val="24"/>
              </w:rPr>
            </w:pPr>
            <w:r>
              <w:rPr>
                <w:sz w:val="24"/>
                <w:szCs w:val="24"/>
              </w:rPr>
              <w:t>25</w:t>
            </w:r>
          </w:p>
        </w:tc>
        <w:tc>
          <w:tcPr>
            <w:tcW w:w="623" w:type="dxa"/>
            <w:tcBorders/>
            <w:shd w:color="000000" w:fill="FFFFFF" w:val="clear"/>
          </w:tcPr>
          <w:p>
            <w:pPr>
              <w:pStyle w:val="Normal"/>
              <w:widowControl w:val="false"/>
              <w:spacing w:before="0" w:after="200"/>
              <w:ind w:left="0" w:hanging="0"/>
              <w:jc w:val="right"/>
              <w:rPr>
                <w:sz w:val="24"/>
                <w:szCs w:val="24"/>
              </w:rPr>
            </w:pPr>
            <w:r>
              <w:rPr>
                <w:sz w:val="24"/>
                <w:szCs w:val="24"/>
              </w:rPr>
              <w:t>30</w:t>
            </w:r>
          </w:p>
        </w:tc>
        <w:tc>
          <w:tcPr>
            <w:tcW w:w="623" w:type="dxa"/>
            <w:tcBorders/>
            <w:shd w:color="000000" w:fill="FFFFFF" w:val="clear"/>
          </w:tcPr>
          <w:p>
            <w:pPr>
              <w:pStyle w:val="Normal"/>
              <w:widowControl w:val="false"/>
              <w:spacing w:before="0" w:after="200"/>
              <w:ind w:left="0" w:hanging="0"/>
              <w:jc w:val="right"/>
              <w:rPr>
                <w:sz w:val="24"/>
                <w:szCs w:val="24"/>
              </w:rPr>
            </w:pPr>
            <w:r>
              <w:rPr>
                <w:sz w:val="24"/>
                <w:szCs w:val="24"/>
              </w:rPr>
              <w:t>100</w:t>
            </w:r>
          </w:p>
        </w:tc>
        <w:tc>
          <w:tcPr>
            <w:tcW w:w="750" w:type="dxa"/>
            <w:tcBorders/>
            <w:shd w:color="000000" w:fill="FFFFFF" w:val="clear"/>
          </w:tcPr>
          <w:p>
            <w:pPr>
              <w:pStyle w:val="Normal"/>
              <w:widowControl w:val="false"/>
              <w:spacing w:before="0" w:after="200"/>
              <w:ind w:left="0" w:hanging="0"/>
              <w:jc w:val="right"/>
              <w:rPr>
                <w:sz w:val="24"/>
                <w:szCs w:val="24"/>
              </w:rPr>
            </w:pPr>
            <w:r>
              <w:rPr>
                <w:sz w:val="24"/>
                <w:szCs w:val="24"/>
              </w:rPr>
              <w:t>100</w:t>
            </w:r>
          </w:p>
        </w:tc>
      </w:tr>
      <w:tr>
        <w:trPr>
          <w:trHeight w:val="330" w:hRule="atLeast"/>
        </w:trPr>
        <w:tc>
          <w:tcPr>
            <w:tcW w:w="3538" w:type="dxa"/>
            <w:tcBorders/>
            <w:shd w:color="000000" w:fill="FFFFFF" w:val="clear"/>
          </w:tcPr>
          <w:p>
            <w:pPr>
              <w:pStyle w:val="Normal"/>
              <w:widowControl w:val="false"/>
              <w:spacing w:before="0" w:after="200"/>
              <w:ind w:left="0" w:hanging="0"/>
              <w:rPr>
                <w:sz w:val="24"/>
                <w:szCs w:val="24"/>
              </w:rPr>
            </w:pPr>
            <w:r>
              <w:rPr>
                <w:sz w:val="24"/>
                <w:szCs w:val="24"/>
              </w:rPr>
            </w:r>
          </w:p>
        </w:tc>
        <w:tc>
          <w:tcPr>
            <w:tcW w:w="3114" w:type="dxa"/>
            <w:tcBorders/>
            <w:shd w:color="000000" w:fill="FFFFFF" w:val="clear"/>
          </w:tcPr>
          <w:p>
            <w:pPr>
              <w:pStyle w:val="Normal"/>
              <w:widowControl w:val="false"/>
              <w:spacing w:before="0" w:after="200"/>
              <w:ind w:left="0" w:hanging="0"/>
              <w:rPr>
                <w:sz w:val="24"/>
                <w:szCs w:val="24"/>
              </w:rPr>
            </w:pPr>
            <w:r>
              <w:rPr>
                <w:sz w:val="24"/>
                <w:szCs w:val="24"/>
              </w:rPr>
            </w:r>
          </w:p>
        </w:tc>
        <w:tc>
          <w:tcPr>
            <w:tcW w:w="1275" w:type="dxa"/>
            <w:tcBorders/>
            <w:shd w:color="000000" w:fill="FFFFFF" w:val="clear"/>
          </w:tcPr>
          <w:p>
            <w:pPr>
              <w:pStyle w:val="Normal"/>
              <w:widowControl w:val="false"/>
              <w:spacing w:before="0" w:after="200"/>
              <w:ind w:left="0" w:hanging="0"/>
              <w:jc w:val="right"/>
              <w:rPr>
                <w:sz w:val="24"/>
                <w:szCs w:val="24"/>
              </w:rPr>
            </w:pPr>
            <w:r>
              <w:rPr>
                <w:sz w:val="24"/>
                <w:szCs w:val="24"/>
              </w:rPr>
            </w:r>
          </w:p>
        </w:tc>
        <w:tc>
          <w:tcPr>
            <w:tcW w:w="708" w:type="dxa"/>
            <w:tcBorders/>
            <w:shd w:color="000000" w:fill="FFFFFF" w:val="clear"/>
          </w:tcPr>
          <w:p>
            <w:pPr>
              <w:pStyle w:val="Normal"/>
              <w:widowControl w:val="false"/>
              <w:spacing w:before="0" w:after="200"/>
              <w:ind w:left="0" w:hanging="0"/>
              <w:jc w:val="right"/>
              <w:rPr>
                <w:sz w:val="24"/>
                <w:szCs w:val="24"/>
              </w:rPr>
            </w:pPr>
            <w:r>
              <w:rPr>
                <w:sz w:val="24"/>
                <w:szCs w:val="24"/>
              </w:rPr>
            </w:r>
          </w:p>
        </w:tc>
        <w:tc>
          <w:tcPr>
            <w:tcW w:w="623" w:type="dxa"/>
            <w:tcBorders/>
            <w:shd w:color="000000" w:fill="FFFFFF" w:val="clear"/>
          </w:tcPr>
          <w:p>
            <w:pPr>
              <w:pStyle w:val="Normal"/>
              <w:widowControl w:val="false"/>
              <w:spacing w:before="0" w:after="200"/>
              <w:ind w:left="0" w:hanging="0"/>
              <w:jc w:val="right"/>
              <w:rPr>
                <w:sz w:val="24"/>
                <w:szCs w:val="24"/>
              </w:rPr>
            </w:pPr>
            <w:r>
              <w:rPr>
                <w:sz w:val="24"/>
                <w:szCs w:val="24"/>
              </w:rPr>
            </w:r>
          </w:p>
        </w:tc>
        <w:tc>
          <w:tcPr>
            <w:tcW w:w="623" w:type="dxa"/>
            <w:tcBorders/>
            <w:shd w:color="000000" w:fill="FFFFFF" w:val="clear"/>
          </w:tcPr>
          <w:p>
            <w:pPr>
              <w:pStyle w:val="Normal"/>
              <w:widowControl w:val="false"/>
              <w:spacing w:before="0" w:after="200"/>
              <w:ind w:left="0" w:hanging="0"/>
              <w:jc w:val="right"/>
              <w:rPr>
                <w:sz w:val="24"/>
                <w:szCs w:val="24"/>
              </w:rPr>
            </w:pPr>
            <w:r>
              <w:rPr>
                <w:sz w:val="24"/>
                <w:szCs w:val="24"/>
              </w:rPr>
            </w:r>
          </w:p>
        </w:tc>
        <w:tc>
          <w:tcPr>
            <w:tcW w:w="750" w:type="dxa"/>
            <w:tcBorders/>
            <w:shd w:color="000000" w:fill="FFFFFF" w:val="clear"/>
          </w:tcPr>
          <w:p>
            <w:pPr>
              <w:pStyle w:val="Normal"/>
              <w:widowControl w:val="false"/>
              <w:spacing w:before="0" w:after="200"/>
              <w:ind w:left="0" w:hanging="0"/>
              <w:jc w:val="right"/>
              <w:rPr>
                <w:sz w:val="24"/>
                <w:szCs w:val="24"/>
              </w:rPr>
            </w:pPr>
            <w:r>
              <w:rPr>
                <w:sz w:val="24"/>
                <w:szCs w:val="24"/>
              </w:rPr>
            </w:r>
          </w:p>
        </w:tc>
      </w:tr>
    </w:tbl>
    <w:p>
      <w:pPr>
        <w:pStyle w:val="Normal"/>
        <w:ind w:left="0" w:hanging="0"/>
        <w:jc w:val="both"/>
        <w:rPr>
          <w:b/>
          <w:b/>
          <w:bCs/>
          <w:sz w:val="24"/>
          <w:szCs w:val="24"/>
        </w:rPr>
      </w:pPr>
      <w:r>
        <w:rPr>
          <w:b/>
          <w:bCs/>
          <w:sz w:val="24"/>
          <w:szCs w:val="24"/>
        </w:rPr>
      </w:r>
    </w:p>
    <w:p>
      <w:pPr>
        <w:pStyle w:val="Stilnaslova4"/>
        <w:numPr>
          <w:ilvl w:val="0"/>
          <w:numId w:val="5"/>
        </w:numPr>
        <w:ind w:left="0" w:hanging="426"/>
        <w:rPr>
          <w:sz w:val="24"/>
          <w:szCs w:val="24"/>
        </w:rPr>
      </w:pPr>
      <w:r>
        <w:rPr>
          <w:rFonts w:ascii="Times New Roman" w:hAnsi="Times New Roman"/>
          <w:sz w:val="24"/>
          <w:szCs w:val="24"/>
        </w:rPr>
        <w:t>PROGRAM:  Izgradnja objekata i uređaja komunalne infrastrukture</w:t>
      </w:r>
    </w:p>
    <w:p>
      <w:pPr>
        <w:pStyle w:val="Normal"/>
        <w:ind w:left="0" w:hanging="0"/>
        <w:jc w:val="both"/>
        <w:rPr>
          <w:sz w:val="24"/>
          <w:szCs w:val="24"/>
        </w:rPr>
      </w:pPr>
      <w:r>
        <w:rPr>
          <w:b/>
          <w:bCs/>
          <w:sz w:val="24"/>
          <w:szCs w:val="24"/>
        </w:rPr>
        <w:t>ZAKONSKA OSNOVA</w:t>
      </w:r>
      <w:r>
        <w:rPr>
          <w:sz w:val="24"/>
          <w:szCs w:val="24"/>
        </w:rPr>
        <w:t xml:space="preserve">: </w:t>
      </w:r>
    </w:p>
    <w:p>
      <w:pPr>
        <w:pStyle w:val="ListParagraph"/>
        <w:numPr>
          <w:ilvl w:val="0"/>
          <w:numId w:val="4"/>
        </w:numPr>
        <w:suppressAutoHyphens w:val="true"/>
        <w:spacing w:lineRule="atLeast" w:line="100"/>
        <w:ind w:left="0" w:hanging="294"/>
        <w:jc w:val="both"/>
        <w:rPr>
          <w:sz w:val="24"/>
          <w:szCs w:val="24"/>
        </w:rPr>
      </w:pPr>
      <w:r>
        <w:rPr>
          <w:rFonts w:cs="Calibri" w:ascii="Calibri" w:hAnsi="Calibri" w:asciiTheme="minorHAnsi" w:cstheme="minorHAnsi" w:hAnsiTheme="minorHAnsi"/>
          <w:sz w:val="24"/>
          <w:szCs w:val="24"/>
        </w:rPr>
        <w:t xml:space="preserve">Zakon o komunalnom gospodarstvu („Narodne novine“ br. 68/18, 110/18, 32/20), </w:t>
      </w:r>
    </w:p>
    <w:p>
      <w:pPr>
        <w:pStyle w:val="ListParagraph"/>
        <w:numPr>
          <w:ilvl w:val="0"/>
          <w:numId w:val="4"/>
        </w:numPr>
        <w:suppressAutoHyphens w:val="true"/>
        <w:spacing w:lineRule="atLeast" w:line="100"/>
        <w:ind w:left="0" w:hanging="294"/>
        <w:jc w:val="both"/>
        <w:rPr>
          <w:sz w:val="24"/>
          <w:szCs w:val="24"/>
        </w:rPr>
      </w:pPr>
      <w:r>
        <w:rPr>
          <w:rFonts w:cs="Calibri" w:ascii="Calibri" w:hAnsi="Calibri" w:asciiTheme="minorHAnsi" w:cstheme="minorHAnsi" w:hAnsiTheme="minorHAnsi"/>
          <w:sz w:val="24"/>
          <w:szCs w:val="24"/>
        </w:rPr>
        <w:t>Zakon o zaštiti od svjetlosnog onečišćenja (NN 14/19),</w:t>
      </w:r>
    </w:p>
    <w:p>
      <w:pPr>
        <w:pStyle w:val="ListParagraph"/>
        <w:numPr>
          <w:ilvl w:val="0"/>
          <w:numId w:val="4"/>
        </w:numPr>
        <w:suppressAutoHyphens w:val="true"/>
        <w:spacing w:lineRule="atLeast" w:line="100"/>
        <w:ind w:left="0" w:hanging="360"/>
        <w:jc w:val="both"/>
        <w:rPr>
          <w:sz w:val="24"/>
          <w:szCs w:val="24"/>
        </w:rPr>
      </w:pPr>
      <w:r>
        <w:rPr>
          <w:rFonts w:cs="Calibri" w:ascii="Calibri" w:hAnsi="Calibri" w:asciiTheme="minorHAnsi" w:cstheme="minorHAnsi" w:hAnsiTheme="minorHAnsi"/>
          <w:sz w:val="24"/>
          <w:szCs w:val="24"/>
        </w:rPr>
        <w:t>Zakon o cestama („Narodne novine“ br. 84/11, 22/13, 54/13, 148/13, 92/14, 110/19, 144/21, 114/22, 114/22, 04/23, 133/23),</w:t>
      </w:r>
      <w:r>
        <w:rPr>
          <w:rFonts w:cs="Calibri" w:ascii="Calibri" w:hAnsi="Calibri" w:asciiTheme="minorHAnsi" w:cstheme="minorHAnsi" w:hAnsiTheme="minorHAnsi"/>
          <w:color w:val="00B0F0"/>
          <w:sz w:val="24"/>
          <w:szCs w:val="24"/>
        </w:rPr>
        <w:t xml:space="preserve"> </w:t>
      </w:r>
    </w:p>
    <w:p>
      <w:pPr>
        <w:pStyle w:val="ListParagraph"/>
        <w:numPr>
          <w:ilvl w:val="0"/>
          <w:numId w:val="4"/>
        </w:numPr>
        <w:suppressAutoHyphens w:val="true"/>
        <w:spacing w:lineRule="atLeast" w:line="100"/>
        <w:ind w:left="0" w:hanging="360"/>
        <w:jc w:val="both"/>
        <w:rPr>
          <w:sz w:val="24"/>
          <w:szCs w:val="24"/>
        </w:rPr>
      </w:pPr>
      <w:r>
        <w:rPr>
          <w:rFonts w:cs="Calibri" w:ascii="Calibri" w:hAnsi="Calibri" w:asciiTheme="minorHAnsi" w:cstheme="minorHAnsi" w:hAnsiTheme="minorHAnsi"/>
          <w:sz w:val="24"/>
          <w:szCs w:val="24"/>
        </w:rPr>
        <w:t>Z</w:t>
      </w:r>
      <w:r>
        <w:rPr>
          <w:rFonts w:cs="Calibri" w:ascii="Calibri" w:hAnsi="Calibri" w:asciiTheme="minorHAnsi" w:cstheme="minorHAnsi" w:hAnsiTheme="minorHAnsi"/>
          <w:bCs/>
          <w:sz w:val="24"/>
          <w:szCs w:val="24"/>
        </w:rPr>
        <w:t>akon o sigurnosti prometa na cestama</w:t>
      </w:r>
      <w:r>
        <w:rPr>
          <w:rFonts w:cs="Calibri" w:ascii="Calibri" w:hAnsi="Calibri" w:asciiTheme="minorHAnsi" w:cstheme="minorHAnsi" w:hAnsiTheme="minorHAnsi"/>
          <w:sz w:val="24"/>
          <w:szCs w:val="24"/>
          <w:shd w:fill="FFFFFF" w:val="clear"/>
        </w:rPr>
        <w:t xml:space="preserve"> </w:t>
      </w:r>
      <w:r>
        <w:rPr>
          <w:rFonts w:cs="Calibri" w:ascii="Calibri" w:hAnsi="Calibri" w:asciiTheme="minorHAnsi" w:cstheme="minorHAnsi" w:hAnsiTheme="minorHAnsi"/>
          <w:sz w:val="24"/>
          <w:szCs w:val="24"/>
        </w:rPr>
        <w:t>(„Narodne novine“ br. 67/08, 48/10, 74/11, 80/13, 158/13, 92/14, 64/15, 108/17, 70/19, 42/20, 85/22, 114/22, 133/23</w:t>
      </w:r>
      <w:r>
        <w:rPr>
          <w:rFonts w:cs="Calibri" w:ascii="Calibri" w:hAnsi="Calibri" w:asciiTheme="minorHAnsi" w:cstheme="minorHAnsi" w:hAnsiTheme="minorHAnsi"/>
          <w:sz w:val="24"/>
          <w:szCs w:val="24"/>
          <w:shd w:fill="FFFFFF" w:val="clear"/>
        </w:rPr>
        <w:t> </w:t>
      </w:r>
      <w:r>
        <w:rPr>
          <w:rFonts w:cs="Calibri" w:ascii="Calibri" w:hAnsi="Calibri" w:asciiTheme="minorHAnsi" w:cstheme="minorHAnsi" w:hAnsiTheme="minorHAnsi"/>
          <w:sz w:val="24"/>
          <w:szCs w:val="24"/>
        </w:rPr>
        <w:t>)</w:t>
      </w:r>
      <w:r>
        <w:rPr>
          <w:rFonts w:cs="Calibri" w:ascii="Calibri" w:hAnsi="Calibri" w:asciiTheme="minorHAnsi" w:cstheme="minorHAnsi" w:hAnsiTheme="minorHAnsi"/>
          <w:bCs/>
          <w:sz w:val="24"/>
          <w:szCs w:val="24"/>
        </w:rPr>
        <w:t xml:space="preserve">, </w:t>
      </w:r>
    </w:p>
    <w:p>
      <w:pPr>
        <w:pStyle w:val="Normal"/>
        <w:numPr>
          <w:ilvl w:val="0"/>
          <w:numId w:val="4"/>
        </w:numPr>
        <w:suppressAutoHyphens w:val="false"/>
        <w:spacing w:lineRule="auto" w:line="240" w:before="0" w:after="0"/>
        <w:ind w:left="0" w:hanging="360"/>
        <w:jc w:val="both"/>
        <w:rPr>
          <w:sz w:val="24"/>
          <w:szCs w:val="24"/>
        </w:rPr>
      </w:pPr>
      <w:r>
        <w:rPr>
          <w:rFonts w:cs="Calibri" w:cstheme="minorHAnsi"/>
          <w:bCs/>
          <w:sz w:val="24"/>
          <w:szCs w:val="24"/>
        </w:rPr>
        <w:t xml:space="preserve">Odluka o nerazvrstanim cestama </w:t>
      </w:r>
      <w:r>
        <w:rPr>
          <w:rFonts w:cs="Calibri" w:cstheme="minorHAnsi"/>
          <w:sz w:val="24"/>
          <w:szCs w:val="24"/>
        </w:rPr>
        <w:t>(„Službeni vjesnik“ Vukovarsko-srijemske županije, br. 21/13)</w:t>
      </w:r>
      <w:r>
        <w:rPr>
          <w:rFonts w:cs="Calibri" w:cstheme="minorHAnsi"/>
          <w:bCs/>
          <w:sz w:val="24"/>
          <w:szCs w:val="24"/>
        </w:rPr>
        <w:t xml:space="preserve"> i dr.</w:t>
      </w:r>
    </w:p>
    <w:p>
      <w:pPr>
        <w:pStyle w:val="Normal"/>
        <w:ind w:left="0" w:hanging="0"/>
        <w:rPr>
          <w:b/>
          <w:b/>
          <w:bCs/>
        </w:rPr>
      </w:pPr>
      <w:r>
        <w:rPr>
          <w:b/>
          <w:bCs/>
        </w:rPr>
      </w:r>
    </w:p>
    <w:p>
      <w:pPr>
        <w:pStyle w:val="Normal"/>
        <w:ind w:left="0" w:hanging="0"/>
        <w:rPr>
          <w:sz w:val="24"/>
          <w:szCs w:val="24"/>
        </w:rPr>
      </w:pPr>
      <w:r>
        <w:rPr>
          <w:b/>
          <w:bCs/>
          <w:sz w:val="24"/>
          <w:szCs w:val="24"/>
        </w:rPr>
        <w:t>OPIS PROGRAMA</w:t>
      </w:r>
      <w:r>
        <w:rPr>
          <w:sz w:val="24"/>
          <w:szCs w:val="24"/>
        </w:rPr>
        <w:t xml:space="preserve">: Ovim programom osiguravaju se sredstva za izgradnju i opremanje komunalne infrastrukture. </w:t>
      </w:r>
    </w:p>
    <w:p>
      <w:pPr>
        <w:pStyle w:val="Normal"/>
        <w:ind w:left="0" w:hanging="0"/>
        <w:rPr>
          <w:sz w:val="24"/>
          <w:szCs w:val="24"/>
        </w:rPr>
      </w:pPr>
      <w:r>
        <w:rPr>
          <w:b/>
          <w:bCs/>
          <w:i/>
          <w:iCs/>
          <w:sz w:val="24"/>
          <w:szCs w:val="24"/>
        </w:rPr>
        <w:t>U okviru ovog programa planirana je aktivnost:</w:t>
      </w:r>
    </w:p>
    <w:p>
      <w:pPr>
        <w:pStyle w:val="ListParagraph"/>
        <w:numPr>
          <w:ilvl w:val="0"/>
          <w:numId w:val="9"/>
        </w:numPr>
        <w:ind w:left="0" w:hanging="360"/>
        <w:jc w:val="both"/>
        <w:rPr>
          <w:sz w:val="24"/>
          <w:szCs w:val="24"/>
        </w:rPr>
      </w:pPr>
      <w:r>
        <w:rPr>
          <w:sz w:val="24"/>
          <w:szCs w:val="24"/>
        </w:rPr>
        <w:t>Izgradnja tribina na nogometnom igralištu</w:t>
      </w:r>
    </w:p>
    <w:p>
      <w:pPr>
        <w:pStyle w:val="ListParagraph"/>
        <w:ind w:left="0" w:hanging="0"/>
        <w:jc w:val="both"/>
        <w:rPr>
          <w:b/>
          <w:b/>
          <w:bCs/>
          <w:sz w:val="24"/>
          <w:szCs w:val="24"/>
        </w:rPr>
      </w:pPr>
      <w:r>
        <w:rPr>
          <w:b/>
          <w:bCs/>
          <w:sz w:val="24"/>
          <w:szCs w:val="24"/>
        </w:rPr>
      </w:r>
    </w:p>
    <w:p>
      <w:pPr>
        <w:pStyle w:val="ListParagraph"/>
        <w:ind w:left="0" w:hanging="0"/>
        <w:jc w:val="both"/>
        <w:rPr>
          <w:b w:val="false"/>
          <w:b w:val="false"/>
          <w:bCs w:val="false"/>
        </w:rPr>
      </w:pPr>
      <w:r>
        <w:rPr>
          <w:b w:val="false"/>
          <w:bCs w:val="false"/>
          <w:sz w:val="24"/>
          <w:szCs w:val="24"/>
        </w:rPr>
        <w:t>KLASA: 400-0</w:t>
      </w:r>
      <w:r>
        <w:rPr>
          <w:b w:val="false"/>
          <w:bCs w:val="false"/>
          <w:sz w:val="24"/>
          <w:szCs w:val="24"/>
        </w:rPr>
        <w:t>1</w:t>
      </w:r>
      <w:r>
        <w:rPr>
          <w:b w:val="false"/>
          <w:bCs w:val="false"/>
          <w:sz w:val="24"/>
          <w:szCs w:val="24"/>
        </w:rPr>
        <w:t>/2</w:t>
      </w:r>
      <w:r>
        <w:rPr>
          <w:b w:val="false"/>
          <w:bCs w:val="false"/>
          <w:sz w:val="24"/>
          <w:szCs w:val="24"/>
        </w:rPr>
        <w:t>5</w:t>
      </w:r>
      <w:r>
        <w:rPr>
          <w:b w:val="false"/>
          <w:bCs w:val="false"/>
          <w:sz w:val="24"/>
          <w:szCs w:val="24"/>
        </w:rPr>
        <w:t>-</w:t>
      </w:r>
      <w:r>
        <w:rPr>
          <w:b w:val="false"/>
          <w:bCs w:val="false"/>
          <w:color w:val="000000"/>
          <w:sz w:val="24"/>
          <w:szCs w:val="24"/>
        </w:rPr>
        <w:t>01/01</w:t>
      </w:r>
    </w:p>
    <w:p>
      <w:pPr>
        <w:pStyle w:val="ListParagraph"/>
        <w:ind w:left="0" w:hanging="0"/>
        <w:jc w:val="both"/>
        <w:rPr>
          <w:b w:val="false"/>
          <w:b w:val="false"/>
          <w:bCs w:val="false"/>
        </w:rPr>
      </w:pPr>
      <w:r>
        <w:rPr>
          <w:b w:val="false"/>
          <w:bCs w:val="false"/>
          <w:sz w:val="24"/>
          <w:szCs w:val="24"/>
        </w:rPr>
        <w:t>URBROJ: 2196-19-02-26</w:t>
      </w:r>
      <w:r>
        <w:rPr>
          <w:b w:val="false"/>
          <w:bCs w:val="false"/>
          <w:color w:val="000000"/>
          <w:sz w:val="24"/>
          <w:szCs w:val="24"/>
        </w:rPr>
        <w:t>-06</w:t>
      </w:r>
    </w:p>
    <w:p>
      <w:pPr>
        <w:pStyle w:val="ListParagraph"/>
        <w:ind w:left="0" w:hanging="0"/>
        <w:jc w:val="both"/>
        <w:rPr>
          <w:b w:val="false"/>
          <w:b w:val="false"/>
          <w:bCs w:val="false"/>
        </w:rPr>
      </w:pPr>
      <w:r>
        <w:rPr>
          <w:b w:val="false"/>
          <w:bCs w:val="false"/>
          <w:sz w:val="24"/>
          <w:szCs w:val="24"/>
        </w:rPr>
        <w:t>Negoslavci, 25. lipanja 2026.</w:t>
      </w:r>
    </w:p>
    <w:p>
      <w:pPr>
        <w:pStyle w:val="ListParagraph"/>
        <w:ind w:left="0" w:hanging="0"/>
        <w:jc w:val="both"/>
        <w:rPr>
          <w:sz w:val="24"/>
          <w:szCs w:val="24"/>
        </w:rPr>
      </w:pPr>
      <w:r>
        <w:rPr>
          <w:sz w:val="24"/>
          <w:szCs w:val="24"/>
        </w:rPr>
      </w:r>
    </w:p>
    <w:p>
      <w:pPr>
        <w:pStyle w:val="ListParagraph"/>
        <w:ind w:left="0" w:hanging="0"/>
        <w:jc w:val="center"/>
        <w:rPr/>
      </w:pPr>
      <w:r>
        <w:rPr>
          <w:b/>
          <w:bCs/>
          <w:sz w:val="24"/>
          <w:szCs w:val="24"/>
        </w:rPr>
        <w:t>PREDSJEDNIK OPĆINSKOG VIJEĆA:</w:t>
      </w:r>
    </w:p>
    <w:p>
      <w:pPr>
        <w:pStyle w:val="ListParagraph"/>
        <w:ind w:left="0" w:hanging="0"/>
        <w:jc w:val="center"/>
        <w:rPr/>
      </w:pPr>
      <w:r>
        <w:rPr>
          <w:rFonts w:ascii="Times New Roman" w:hAnsi="Times New Roman"/>
          <w:sz w:val="24"/>
          <w:szCs w:val="24"/>
          <w:lang w:val="hr-HR"/>
        </w:rPr>
        <w:t>Miodrag Mišanović</w:t>
      </w:r>
    </w:p>
    <w:p>
      <w:pPr>
        <w:pStyle w:val="ListParagraph"/>
        <w:ind w:left="0" w:hanging="0"/>
        <w:jc w:val="center"/>
        <w:rPr/>
      </w:pPr>
      <w:r>
        <w:rPr>
          <w:rFonts w:ascii="Times New Roman" w:hAnsi="Times New Roman"/>
          <w:sz w:val="24"/>
          <w:szCs w:val="24"/>
          <w:lang w:val="hr-HR"/>
        </w:rPr>
        <w:drawing>
          <wp:inline distT="0" distB="0" distL="0" distR="0">
            <wp:extent cx="5761355" cy="36830"/>
            <wp:effectExtent l="0" t="0" r="0" b="0"/>
            <wp:docPr id="4" name="Slik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8" descr=""/>
                    <pic:cNvPicPr>
                      <a:picLocks noChangeAspect="1" noChangeArrowheads="1"/>
                    </pic:cNvPicPr>
                  </pic:nvPicPr>
                  <pic:blipFill>
                    <a:blip r:embed="rId10"/>
                    <a:stretch>
                      <a:fillRect/>
                    </a:stretch>
                  </pic:blipFill>
                  <pic:spPr bwMode="auto">
                    <a:xfrm>
                      <a:off x="0" y="0"/>
                      <a:ext cx="5761355" cy="36830"/>
                    </a:xfrm>
                    <a:prstGeom prst="rect">
                      <a:avLst/>
                    </a:prstGeom>
                  </pic:spPr>
                </pic:pic>
              </a:graphicData>
            </a:graphic>
          </wp:inline>
        </w:drawing>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Fonts w:eastAsia="Calibri" w:cs="Times New Roman" w:ascii="Times New Roman" w:hAnsi="Times New Roman"/>
        </w:rPr>
        <w:tab/>
        <w:t>Na temelju članka 76. Zakona o sportu („Narodne novine“ broj 141/22) i članka 19., točke 2. Statuta Općine Negoslavci („Službeni glasnik Općine Negoslavci” broj 4/25) Općinsko vijeće Općine Negoslavci na svojoj redovnoj sjednici održanoj d</w:t>
      </w:r>
      <w:r>
        <w:rPr>
          <w:rFonts w:eastAsia="Calibri" w:cs="Times New Roman" w:ascii="Times New Roman" w:hAnsi="Times New Roman"/>
          <w:color w:val="000000"/>
        </w:rPr>
        <w:t>ana 25.06.2026. godin</w:t>
      </w:r>
      <w:r>
        <w:rPr>
          <w:rFonts w:eastAsia="Calibri" w:cs="Times New Roman" w:ascii="Times New Roman" w:hAnsi="Times New Roman"/>
        </w:rPr>
        <w:t>e donosi</w:t>
      </w:r>
    </w:p>
    <w:p>
      <w:pPr>
        <w:pStyle w:val="Normal"/>
        <w:jc w:val="both"/>
        <w:rPr>
          <w:rFonts w:ascii="Times New Roman" w:hAnsi="Times New Roman" w:eastAsia="Calibri" w:cs="Times New Roman"/>
        </w:rPr>
      </w:pPr>
      <w:r>
        <w:rPr>
          <w:rFonts w:eastAsia="Calibri" w:cs="Times New Roman" w:ascii="Times New Roman" w:hAnsi="Times New Roman"/>
        </w:rPr>
      </w:r>
    </w:p>
    <w:p>
      <w:pPr>
        <w:pStyle w:val="Normal"/>
        <w:keepNext w:val="true"/>
        <w:numPr>
          <w:ilvl w:val="0"/>
          <w:numId w:val="0"/>
        </w:numPr>
        <w:ind w:left="0" w:hanging="0"/>
        <w:jc w:val="center"/>
        <w:outlineLvl w:val="0"/>
        <w:rPr>
          <w:rFonts w:ascii="Times New Roman" w:hAnsi="Times New Roman"/>
        </w:rPr>
      </w:pPr>
      <w:r>
        <w:rPr>
          <w:rFonts w:eastAsia="Andale Sans UI" w:cs="Times New Roman" w:ascii="Times New Roman" w:hAnsi="Times New Roman"/>
          <w:b/>
          <w:bCs/>
        </w:rPr>
        <w:t>Izmjene i dopune P</w:t>
      </w:r>
      <w:bookmarkStart w:id="35" w:name="_Toc62727864"/>
      <w:r>
        <w:rPr>
          <w:rFonts w:eastAsia="Andale Sans UI" w:cs="Times New Roman" w:ascii="Times New Roman" w:hAnsi="Times New Roman"/>
          <w:b/>
          <w:bCs/>
        </w:rPr>
        <w:t>rograma javnih potreba u sportu na području Općine Negoslavci za 2026. god</w:t>
      </w:r>
      <w:bookmarkEnd w:id="35"/>
      <w:r>
        <w:rPr>
          <w:rFonts w:eastAsia="Andale Sans UI" w:cs="Times New Roman" w:ascii="Times New Roman" w:hAnsi="Times New Roman"/>
          <w:b/>
          <w:bCs/>
        </w:rPr>
        <w:t>inu</w:t>
      </w:r>
    </w:p>
    <w:p>
      <w:pPr>
        <w:pStyle w:val="Normal"/>
        <w:widowControl w:val="false"/>
        <w:spacing w:lineRule="exact" w:line="275" w:before="203" w:after="0"/>
        <w:ind w:right="-1" w:hanging="0"/>
        <w:jc w:val="center"/>
        <w:rPr>
          <w:rFonts w:ascii="Times New Roman" w:hAnsi="Times New Roman"/>
        </w:rPr>
      </w:pPr>
      <w:r>
        <w:rPr>
          <w:rFonts w:eastAsia="Andale Sans UI" w:cs="Times New Roman" w:ascii="Times New Roman" w:hAnsi="Times New Roman"/>
          <w:b/>
          <w:bCs/>
        </w:rPr>
        <w:t>I</w:t>
      </w:r>
    </w:p>
    <w:p>
      <w:pPr>
        <w:pStyle w:val="Normal"/>
        <w:widowControl w:val="false"/>
        <w:spacing w:before="0" w:after="120"/>
        <w:ind w:left="119" w:right="144" w:firstLine="708"/>
        <w:jc w:val="both"/>
        <w:rPr>
          <w:rFonts w:ascii="Times New Roman" w:hAnsi="Times New Roman"/>
        </w:rPr>
      </w:pPr>
      <w:r>
        <w:rPr>
          <w:rFonts w:eastAsia="Andale Sans UI" w:cs="Times New Roman" w:ascii="Times New Roman" w:hAnsi="Times New Roman"/>
        </w:rPr>
        <w:t xml:space="preserve">Mijenja se točka IV. Programa javnih potreba u sportu na području Općine Negoslavci za 2026. godinu („Službeni glasnik Općine Negoslavci” broj 11/25) i glasi: </w:t>
      </w:r>
    </w:p>
    <w:p>
      <w:pPr>
        <w:pStyle w:val="Normal"/>
        <w:widowControl w:val="false"/>
        <w:spacing w:before="0" w:after="120"/>
        <w:ind w:left="119" w:right="144" w:firstLine="708"/>
        <w:jc w:val="both"/>
        <w:rPr>
          <w:rFonts w:ascii="Times New Roman" w:hAnsi="Times New Roman"/>
        </w:rPr>
      </w:pPr>
      <w:r>
        <w:rPr>
          <w:rFonts w:eastAsia="Andale Sans UI" w:cs="Times New Roman" w:ascii="Times New Roman" w:hAnsi="Times New Roman"/>
        </w:rPr>
        <w:t>„</w:t>
      </w:r>
      <w:r>
        <w:rPr>
          <w:rFonts w:eastAsia="Andale Sans UI" w:cs="Times New Roman" w:ascii="Times New Roman" w:hAnsi="Times New Roman"/>
        </w:rPr>
        <w:t>Za provođenje Programa osigurat će se sredstva u proračunu Općine Negoslavci kako slijedi:</w:t>
      </w:r>
    </w:p>
    <w:tbl>
      <w:tblPr>
        <w:tblW w:w="9410" w:type="dxa"/>
        <w:jc w:val="left"/>
        <w:tblInd w:w="126" w:type="dxa"/>
        <w:tblLayout w:type="fixed"/>
        <w:tblCellMar>
          <w:top w:w="55" w:type="dxa"/>
          <w:left w:w="55" w:type="dxa"/>
          <w:bottom w:w="55" w:type="dxa"/>
          <w:right w:w="55" w:type="dxa"/>
        </w:tblCellMar>
        <w:tblLook w:firstRow="0" w:noVBand="0" w:lastRow="0" w:firstColumn="0" w:lastColumn="0" w:noHBand="0" w:val="0000"/>
      </w:tblPr>
      <w:tblGrid>
        <w:gridCol w:w="4650"/>
        <w:gridCol w:w="4759"/>
      </w:tblGrid>
      <w:tr>
        <w:trPr/>
        <w:tc>
          <w:tcPr>
            <w:tcW w:w="4650"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eastAsia="Times New Roman" w:cs="Times New Roman" w:ascii="Times New Roman" w:hAnsi="Times New Roman"/>
              </w:rPr>
              <w:t>Sredstva predviđena za programe, projekte i aktivnosti koje provode sportske udruge</w:t>
            </w:r>
          </w:p>
        </w:tc>
        <w:tc>
          <w:tcPr>
            <w:tcW w:w="47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rPr>
            </w:pPr>
            <w:r>
              <w:rPr>
                <w:rFonts w:eastAsia="Times New Roman" w:cs="Times New Roman" w:ascii="Times New Roman" w:hAnsi="Times New Roman"/>
                <w:color w:val="000000"/>
              </w:rPr>
              <w:t>69.900,00 EUR</w:t>
            </w:r>
          </w:p>
        </w:tc>
      </w:tr>
      <w:tr>
        <w:trPr/>
        <w:tc>
          <w:tcPr>
            <w:tcW w:w="4650"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eastAsia="Times New Roman" w:cs="Times New Roman" w:ascii="Times New Roman" w:hAnsi="Times New Roman"/>
                <w:color w:val="000000"/>
              </w:rPr>
              <w:t>Sredstva za uređenje malonogometnog igrališta</w:t>
            </w:r>
          </w:p>
        </w:tc>
        <w:tc>
          <w:tcPr>
            <w:tcW w:w="4759"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rPr>
            </w:pPr>
            <w:r>
              <w:rPr>
                <w:rFonts w:eastAsia="Times New Roman" w:cs="Times New Roman" w:ascii="Times New Roman" w:hAnsi="Times New Roman"/>
                <w:color w:val="000000"/>
              </w:rPr>
              <w:t>102.000,00 EUR</w:t>
            </w:r>
          </w:p>
        </w:tc>
      </w:tr>
      <w:tr>
        <w:trPr/>
        <w:tc>
          <w:tcPr>
            <w:tcW w:w="4650"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Izgradnja tribina na nogometnom igralištu</w:t>
            </w:r>
          </w:p>
        </w:tc>
        <w:tc>
          <w:tcPr>
            <w:tcW w:w="4759"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rPr>
            </w:pPr>
            <w:r>
              <w:rPr>
                <w:color w:val="000000"/>
              </w:rPr>
              <w:t>133.968,00 EUR</w:t>
            </w:r>
          </w:p>
        </w:tc>
      </w:tr>
      <w:tr>
        <w:trPr/>
        <w:tc>
          <w:tcPr>
            <w:tcW w:w="4650"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eastAsia="Times New Roman" w:cs="Times New Roman" w:ascii="Times New Roman" w:hAnsi="Times New Roman"/>
                <w:b/>
                <w:bCs/>
                <w:color w:val="000000"/>
              </w:rPr>
              <w:t>SVEUKUPNO</w:t>
            </w:r>
          </w:p>
        </w:tc>
        <w:tc>
          <w:tcPr>
            <w:tcW w:w="4759" w:type="dxa"/>
            <w:tcBorders>
              <w:left w:val="single" w:sz="4" w:space="0" w:color="000000"/>
              <w:bottom w:val="single" w:sz="4" w:space="0" w:color="000000"/>
              <w:right w:val="single" w:sz="4" w:space="0" w:color="000000"/>
            </w:tcBorders>
            <w:shd w:color="auto" w:fill="auto" w:val="clear"/>
          </w:tcPr>
          <w:p>
            <w:pPr>
              <w:pStyle w:val="Normal"/>
              <w:widowControl w:val="false"/>
              <w:rPr>
                <w:color w:val="C9211E"/>
              </w:rPr>
            </w:pPr>
            <w:r>
              <w:rPr>
                <w:rFonts w:eastAsia="Times New Roman" w:cs="Times New Roman" w:ascii="Times New Roman" w:hAnsi="Times New Roman"/>
                <w:b/>
                <w:bCs/>
                <w:color w:val="C9211E"/>
              </w:rPr>
              <w:t xml:space="preserve"> </w:t>
            </w:r>
            <w:r>
              <w:rPr>
                <w:rFonts w:eastAsia="Times New Roman" w:cs="Times New Roman" w:ascii="Times New Roman" w:hAnsi="Times New Roman"/>
                <w:b/>
                <w:bCs/>
                <w:color w:val="000000"/>
              </w:rPr>
              <w:t>305.868,00 EUR</w:t>
            </w:r>
          </w:p>
        </w:tc>
      </w:tr>
    </w:tbl>
    <w:p>
      <w:pPr>
        <w:pStyle w:val="Normal"/>
        <w:widowControl w:val="false"/>
        <w:spacing w:lineRule="exact" w:line="275"/>
        <w:jc w:val="left"/>
        <w:rPr>
          <w:rFonts w:ascii="Times New Roman" w:hAnsi="Times New Roman" w:eastAsia="Andale Sans UI" w:cs="Times New Roman"/>
        </w:rPr>
      </w:pPr>
      <w:r>
        <w:rPr>
          <w:rFonts w:eastAsia="Andale Sans UI" w:cs="Times New Roman" w:ascii="Times New Roman" w:hAnsi="Times New Roman"/>
        </w:rPr>
        <w:t>„</w:t>
      </w:r>
    </w:p>
    <w:p>
      <w:pPr>
        <w:pStyle w:val="Normal"/>
        <w:widowControl w:val="false"/>
        <w:spacing w:lineRule="exact" w:line="274"/>
        <w:jc w:val="center"/>
        <w:rPr>
          <w:rFonts w:ascii="Times New Roman" w:hAnsi="Times New Roman"/>
        </w:rPr>
      </w:pPr>
      <w:r>
        <w:rPr>
          <w:rFonts w:eastAsia="Andale Sans UI" w:cs="Times New Roman" w:ascii="Times New Roman" w:hAnsi="Times New Roman"/>
          <w:b/>
          <w:bCs/>
        </w:rPr>
        <w:t>II</w:t>
      </w:r>
    </w:p>
    <w:p>
      <w:pPr>
        <w:pStyle w:val="Normal"/>
        <w:widowControl w:val="false"/>
        <w:spacing w:lineRule="exact" w:line="274"/>
        <w:jc w:val="left"/>
        <w:rPr/>
      </w:pPr>
      <w:r>
        <w:rPr/>
        <w:tab/>
        <w:t>Ostale odredbe Programa ne mijenjaju se, niti se dopunjuju.</w:t>
      </w:r>
    </w:p>
    <w:p>
      <w:pPr>
        <w:pStyle w:val="Normal"/>
        <w:widowControl w:val="false"/>
        <w:spacing w:lineRule="exact" w:line="274"/>
        <w:jc w:val="center"/>
        <w:rPr>
          <w:rFonts w:ascii="Times New Roman" w:hAnsi="Times New Roman"/>
        </w:rPr>
      </w:pPr>
      <w:r>
        <w:rPr>
          <w:rFonts w:ascii="Times New Roman" w:hAnsi="Times New Roman"/>
        </w:rPr>
      </w:r>
    </w:p>
    <w:p>
      <w:pPr>
        <w:pStyle w:val="Normal"/>
        <w:widowControl w:val="false"/>
        <w:spacing w:lineRule="exact" w:line="274"/>
        <w:jc w:val="center"/>
        <w:rPr>
          <w:rFonts w:ascii="Times New Roman" w:hAnsi="Times New Roman"/>
        </w:rPr>
      </w:pPr>
      <w:r>
        <w:rPr>
          <w:rFonts w:eastAsia="Andale Sans UI" w:cs="Times New Roman" w:ascii="Times New Roman" w:hAnsi="Times New Roman"/>
          <w:b/>
          <w:bCs/>
        </w:rPr>
        <w:t>III</w:t>
      </w:r>
    </w:p>
    <w:p>
      <w:pPr>
        <w:pStyle w:val="Normal"/>
        <w:ind w:firstLine="708"/>
        <w:jc w:val="both"/>
        <w:rPr>
          <w:rFonts w:ascii="Times New Roman" w:hAnsi="Times New Roman"/>
        </w:rPr>
      </w:pPr>
      <w:r>
        <w:rPr>
          <w:rFonts w:eastAsia="Calibri" w:cs="Times New Roman" w:ascii="Times New Roman" w:hAnsi="Times New Roman"/>
        </w:rPr>
        <w:t>Ove Izmjene i dopune Programa stupaju na snagu dan nakon dana objave u Službenom glasniku Općine Negoslavci.</w:t>
      </w:r>
    </w:p>
    <w:p>
      <w:pPr>
        <w:pStyle w:val="Normal"/>
        <w:ind w:firstLine="708"/>
        <w:jc w:val="both"/>
        <w:rPr>
          <w:rFonts w:ascii="Times New Roman" w:hAnsi="Times New Roman"/>
        </w:rPr>
      </w:pPr>
      <w:r>
        <w:rPr/>
      </w:r>
    </w:p>
    <w:p>
      <w:pPr>
        <w:pStyle w:val="Normal"/>
        <w:jc w:val="both"/>
        <w:rPr>
          <w:b w:val="false"/>
          <w:b w:val="false"/>
          <w:bCs w:val="false"/>
        </w:rPr>
      </w:pPr>
      <w:r>
        <w:rPr>
          <w:rFonts w:eastAsia="Calibri" w:cs="Times New Roman" w:ascii="Times New Roman" w:hAnsi="Times New Roman"/>
          <w:b w:val="false"/>
          <w:bCs w:val="false"/>
          <w:color w:val="000000"/>
        </w:rPr>
        <w:t>KLASA: 400-02/25-01/01</w:t>
      </w:r>
    </w:p>
    <w:p>
      <w:pPr>
        <w:pStyle w:val="Normal"/>
        <w:jc w:val="both"/>
        <w:rPr>
          <w:b w:val="false"/>
          <w:b w:val="false"/>
          <w:bCs w:val="false"/>
        </w:rPr>
      </w:pPr>
      <w:r>
        <w:rPr>
          <w:rFonts w:eastAsia="Calibri" w:cs="Times New Roman" w:ascii="Times New Roman" w:hAnsi="Times New Roman"/>
          <w:b w:val="false"/>
          <w:bCs w:val="false"/>
          <w:color w:val="000000"/>
        </w:rPr>
        <w:t>URBROJ: 2196-19-02-26-25</w:t>
      </w:r>
    </w:p>
    <w:p>
      <w:pPr>
        <w:pStyle w:val="Normal"/>
        <w:jc w:val="both"/>
        <w:rPr>
          <w:b w:val="false"/>
          <w:b w:val="false"/>
          <w:bCs w:val="false"/>
        </w:rPr>
      </w:pPr>
      <w:r>
        <w:rPr>
          <w:rFonts w:eastAsia="Calibri" w:cs="Times New Roman" w:ascii="Times New Roman" w:hAnsi="Times New Roman"/>
          <w:b w:val="false"/>
          <w:bCs w:val="false"/>
          <w:color w:val="000000"/>
        </w:rPr>
        <w:t xml:space="preserve">Negoslavci, 25. lipnja 2026. </w:t>
      </w:r>
    </w:p>
    <w:p>
      <w:pPr>
        <w:pStyle w:val="Normal"/>
        <w:ind w:firstLine="708"/>
        <w:jc w:val="center"/>
        <w:rPr>
          <w:rFonts w:ascii="Times New Roman" w:hAnsi="Times New Roman" w:eastAsia="Calibri" w:cs="Times New Roman"/>
        </w:rPr>
      </w:pPr>
      <w:r>
        <w:rPr>
          <w:rFonts w:eastAsia="Calibri" w:cs="Times New Roman" w:ascii="Times New Roman" w:hAnsi="Times New Roman"/>
        </w:rPr>
      </w:r>
    </w:p>
    <w:p>
      <w:pPr>
        <w:pStyle w:val="Normal"/>
        <w:spacing w:before="0" w:after="0"/>
        <w:contextualSpacing/>
        <w:jc w:val="center"/>
        <w:rPr/>
      </w:pPr>
      <w:r>
        <w:rPr>
          <w:rFonts w:eastAsia="Calibri" w:cs="Times New Roman" w:ascii="Times New Roman" w:hAnsi="Times New Roman"/>
          <w:b/>
        </w:rPr>
        <w:t>PREDSJEDNIK OPĆINSKOG VIJEĆA</w:t>
      </w:r>
    </w:p>
    <w:p>
      <w:pPr>
        <w:pStyle w:val="Normal"/>
        <w:spacing w:before="0" w:after="0"/>
        <w:contextualSpacing/>
        <w:jc w:val="center"/>
        <w:rPr/>
      </w:pPr>
      <w:r>
        <w:rPr>
          <w:rFonts w:eastAsia="Calibri" w:cs="Times New Roman" w:ascii="Times New Roman" w:hAnsi="Times New Roman"/>
        </w:rPr>
        <w:t>Miodrag Mišanović</w:t>
      </w:r>
    </w:p>
    <w:p>
      <w:pPr>
        <w:pStyle w:val="Normal"/>
        <w:jc w:val="center"/>
        <w:rPr/>
      </w:pPr>
      <w:r>
        <w:rPr/>
        <w:drawing>
          <wp:inline distT="0" distB="0" distL="0" distR="0">
            <wp:extent cx="5761355" cy="36830"/>
            <wp:effectExtent l="0" t="0" r="0" b="0"/>
            <wp:docPr id="5" name="Slika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10" descr=""/>
                    <pic:cNvPicPr>
                      <a:picLocks noChangeAspect="1" noChangeArrowheads="1"/>
                    </pic:cNvPicPr>
                  </pic:nvPicPr>
                  <pic:blipFill>
                    <a:blip r:embed="rId11"/>
                    <a:stretch>
                      <a:fillRect/>
                    </a:stretch>
                  </pic:blipFill>
                  <pic:spPr bwMode="auto">
                    <a:xfrm>
                      <a:off x="0" y="0"/>
                      <a:ext cx="5761355" cy="36830"/>
                    </a:xfrm>
                    <a:prstGeom prst="rect">
                      <a:avLst/>
                    </a:prstGeom>
                  </pic:spPr>
                </pic:pic>
              </a:graphicData>
            </a:graphic>
          </wp:inline>
        </w:drawing>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
    </w:p>
    <w:p>
      <w:pPr>
        <w:pStyle w:val="Normal"/>
        <w:jc w:val="both"/>
        <w:rPr>
          <w:rFonts w:ascii="Times New Roman" w:hAnsi="Times New Roman"/>
          <w:lang w:val="hr-HR"/>
        </w:rPr>
      </w:pPr>
      <w:r>
        <w:rPr>
          <w:rFonts w:eastAsia="Calibri" w:cs="Times New Roman" w:ascii="Times New Roman" w:hAnsi="Times New Roman"/>
          <w:b/>
          <w:lang w:val="hr-HR"/>
        </w:rPr>
        <w:tab/>
      </w:r>
      <w:r>
        <w:rPr>
          <w:rFonts w:eastAsia="Calibri" w:cs="Times New Roman" w:ascii="Times New Roman" w:hAnsi="Times New Roman"/>
          <w:lang w:val="hr-HR"/>
        </w:rPr>
        <w:t>Na temelju članka 72. Zakona o komunalnom gospodarstvu („Narodne novine“ broj 68/18, 110/18, 32/20 i 145/24) te članka 19., točke 2. Statuta Općine Negoslavci („Službeni glasnik Općine Negoslavci” broj 4/25), Općinsko vijeće Općine Negoslavci na svojoj redovnoj sjednici održanoj dan</w:t>
      </w:r>
      <w:r>
        <w:rPr>
          <w:rFonts w:eastAsia="Calibri" w:cs="Times New Roman" w:ascii="Times New Roman" w:hAnsi="Times New Roman"/>
          <w:color w:val="000000"/>
          <w:lang w:val="hr-HR"/>
        </w:rPr>
        <w:t>a 25.06.2026. godine d</w:t>
      </w:r>
      <w:r>
        <w:rPr>
          <w:rFonts w:eastAsia="Calibri" w:cs="Times New Roman" w:ascii="Times New Roman" w:hAnsi="Times New Roman"/>
          <w:lang w:val="hr-HR"/>
        </w:rPr>
        <w:t>onosi</w:t>
      </w:r>
    </w:p>
    <w:p>
      <w:pPr>
        <w:pStyle w:val="Normal"/>
        <w:jc w:val="both"/>
        <w:rPr>
          <w:rFonts w:ascii="Times New Roman" w:hAnsi="Times New Roman" w:eastAsia="Calibri" w:cs="Times New Roman"/>
          <w:lang w:val="hr-HR"/>
        </w:rPr>
      </w:pPr>
      <w:r>
        <w:rPr>
          <w:rFonts w:eastAsia="Calibri" w:cs="Times New Roman" w:ascii="Times New Roman" w:hAnsi="Times New Roman"/>
          <w:lang w:val="hr-HR"/>
        </w:rPr>
      </w:r>
    </w:p>
    <w:p>
      <w:pPr>
        <w:pStyle w:val="Normal"/>
        <w:keepNext w:val="true"/>
        <w:numPr>
          <w:ilvl w:val="0"/>
          <w:numId w:val="0"/>
        </w:numPr>
        <w:ind w:left="0" w:hanging="0"/>
        <w:jc w:val="center"/>
        <w:outlineLvl w:val="0"/>
        <w:rPr>
          <w:rFonts w:ascii="Times New Roman" w:hAnsi="Times New Roman"/>
          <w:lang w:val="hr-HR"/>
        </w:rPr>
      </w:pPr>
      <w:r>
        <w:rPr>
          <w:rFonts w:eastAsia="Calibri" w:cs="Times New Roman" w:ascii="Times New Roman" w:hAnsi="Times New Roman"/>
          <w:b/>
          <w:lang w:val="hr-HR"/>
        </w:rPr>
        <w:t xml:space="preserve">Izmjene i dopune </w:t>
      </w:r>
      <w:bookmarkStart w:id="36" w:name="_Toc62727868"/>
      <w:r>
        <w:rPr>
          <w:rFonts w:eastAsia="Calibri" w:cs="Times New Roman" w:ascii="Times New Roman" w:hAnsi="Times New Roman"/>
          <w:b/>
          <w:lang w:val="hr-HR"/>
        </w:rPr>
        <w:t>Programa održavanja komunalne infrastrukture za 2026. godinu</w:t>
      </w:r>
      <w:bookmarkEnd w:id="36"/>
    </w:p>
    <w:p>
      <w:pPr>
        <w:pStyle w:val="Normal"/>
        <w:jc w:val="center"/>
        <w:rPr>
          <w:rFonts w:ascii="Times New Roman" w:hAnsi="Times New Roman" w:eastAsia="Calibri" w:cs="Times New Roman"/>
          <w:b/>
          <w:b/>
          <w:lang w:val="hr-HR"/>
        </w:rPr>
      </w:pPr>
      <w:r>
        <w:rPr>
          <w:rFonts w:eastAsia="Calibri" w:cs="Times New Roman" w:ascii="Times New Roman" w:hAnsi="Times New Roman"/>
          <w:b/>
          <w:lang w:val="hr-HR"/>
        </w:rPr>
      </w:r>
    </w:p>
    <w:p>
      <w:pPr>
        <w:pStyle w:val="Normal"/>
        <w:jc w:val="center"/>
        <w:rPr>
          <w:rFonts w:ascii="Times New Roman" w:hAnsi="Times New Roman"/>
          <w:lang w:val="hr-HR"/>
        </w:rPr>
      </w:pPr>
      <w:r>
        <w:rPr>
          <w:rFonts w:eastAsia="Calibri" w:cs="Times New Roman" w:ascii="Times New Roman" w:hAnsi="Times New Roman"/>
          <w:b/>
          <w:lang w:val="hr-HR"/>
        </w:rPr>
        <w:t>Članak 1.</w:t>
      </w:r>
    </w:p>
    <w:p>
      <w:pPr>
        <w:pStyle w:val="Normal"/>
        <w:jc w:val="both"/>
        <w:rPr>
          <w:rFonts w:ascii="Times New Roman" w:hAnsi="Times New Roman"/>
          <w:lang w:val="hr-HR"/>
        </w:rPr>
      </w:pPr>
      <w:r>
        <w:rPr>
          <w:rFonts w:eastAsia="Calibri" w:cs="Times New Roman" w:ascii="Times New Roman" w:hAnsi="Times New Roman"/>
          <w:b/>
          <w:lang w:val="hr-HR"/>
        </w:rPr>
        <w:tab/>
      </w:r>
      <w:r>
        <w:rPr>
          <w:rFonts w:eastAsia="Calibri" w:cs="Times New Roman" w:ascii="Times New Roman" w:hAnsi="Times New Roman"/>
          <w:b w:val="false"/>
          <w:bCs w:val="false"/>
          <w:lang w:val="hr-HR"/>
        </w:rPr>
        <w:t>Mijenja se članak 2. Programa održavanja komunalne infrastrukture za 2026. godine („Službeni glasnik Općine Negoslavci” broj 11/25) i glasi:</w:t>
        <w:tab/>
      </w:r>
    </w:p>
    <w:p>
      <w:pPr>
        <w:pStyle w:val="Normal"/>
        <w:jc w:val="both"/>
        <w:rPr>
          <w:rFonts w:ascii="Times New Roman" w:hAnsi="Times New Roman"/>
          <w:lang w:val="hr-HR"/>
        </w:rPr>
      </w:pPr>
      <w:r>
        <w:rPr>
          <w:rFonts w:eastAsia="Calibri" w:cs="Times New Roman" w:ascii="Times New Roman" w:hAnsi="Times New Roman"/>
          <w:b w:val="false"/>
          <w:bCs w:val="false"/>
          <w:lang w:val="hr-HR"/>
        </w:rPr>
        <w:tab/>
        <w:t>„Održavanje komunalne infrastrukture se utvrđuje po djelatnostima kako slijedi:</w:t>
      </w:r>
    </w:p>
    <w:p>
      <w:pPr>
        <w:pStyle w:val="Normal"/>
        <w:jc w:val="both"/>
        <w:rPr>
          <w:b w:val="false"/>
          <w:b w:val="false"/>
          <w:bCs w:val="false"/>
        </w:rPr>
      </w:pPr>
      <w:r>
        <w:rPr>
          <w:rFonts w:eastAsia="Calibri" w:cs="Times New Roman" w:ascii="Times New Roman" w:hAnsi="Times New Roman"/>
          <w:b w:val="false"/>
          <w:bCs w:val="false"/>
        </w:rPr>
        <w:t>1. održavanje nerazvrstanih cesta</w:t>
      </w:r>
    </w:p>
    <w:p>
      <w:pPr>
        <w:pStyle w:val="Normal"/>
        <w:jc w:val="both"/>
        <w:rPr>
          <w:b w:val="false"/>
          <w:b w:val="false"/>
          <w:bCs w:val="false"/>
        </w:rPr>
      </w:pPr>
      <w:r>
        <w:rPr>
          <w:rFonts w:eastAsia="Calibri" w:cs="Times New Roman" w:ascii="Times New Roman" w:hAnsi="Times New Roman"/>
          <w:b w:val="false"/>
          <w:bCs w:val="false"/>
        </w:rPr>
        <w:t>- Tekuće održavanje nerazvrstanih cesta i čišćenje snijega                     5.840,00 EUR</w:t>
      </w:r>
    </w:p>
    <w:p>
      <w:pPr>
        <w:pStyle w:val="Normal"/>
        <w:jc w:val="both"/>
        <w:rPr>
          <w:b w:val="false"/>
          <w:b w:val="false"/>
          <w:bCs w:val="false"/>
        </w:rPr>
      </w:pPr>
      <w:r>
        <w:rPr>
          <w:rFonts w:eastAsia="Calibri" w:cs="Times New Roman" w:ascii="Times New Roman" w:hAnsi="Times New Roman"/>
          <w:b w:val="false"/>
          <w:bCs w:val="false"/>
        </w:rPr>
        <w:t>2. održavanje javnih površina na kojima nije dopušten promet motornim vozilima</w:t>
      </w:r>
    </w:p>
    <w:p>
      <w:pPr>
        <w:pStyle w:val="Normal"/>
        <w:jc w:val="both"/>
        <w:rPr>
          <w:b w:val="false"/>
          <w:b w:val="false"/>
          <w:bCs w:val="false"/>
        </w:rPr>
      </w:pPr>
      <w:r>
        <w:rPr>
          <w:rFonts w:eastAsia="Calibri" w:cs="Times New Roman" w:ascii="Times New Roman" w:hAnsi="Times New Roman"/>
          <w:b w:val="false"/>
          <w:bCs w:val="false"/>
        </w:rPr>
        <w:t xml:space="preserve">- Sanacija pješačkih staza       </w:t>
        <w:tab/>
        <w:tab/>
        <w:tab/>
        <w:tab/>
        <w:tab/>
        <w:t xml:space="preserve">      20.000,00 EUR</w:t>
      </w:r>
    </w:p>
    <w:p>
      <w:pPr>
        <w:pStyle w:val="Normal"/>
        <w:jc w:val="both"/>
        <w:rPr>
          <w:b w:val="false"/>
          <w:b w:val="false"/>
          <w:bCs w:val="false"/>
        </w:rPr>
      </w:pPr>
      <w:r>
        <w:rPr>
          <w:rFonts w:eastAsia="Calibri" w:cs="Times New Roman" w:ascii="Times New Roman" w:hAnsi="Times New Roman"/>
          <w:b w:val="false"/>
          <w:bCs w:val="false"/>
        </w:rPr>
        <w:t>3. održavanje građevina javne odvodnje oborinskih voda                               0,00 EUR</w:t>
      </w:r>
    </w:p>
    <w:p>
      <w:pPr>
        <w:pStyle w:val="Normal"/>
        <w:jc w:val="both"/>
        <w:rPr>
          <w:b w:val="false"/>
          <w:b w:val="false"/>
          <w:bCs w:val="false"/>
        </w:rPr>
      </w:pPr>
      <w:r>
        <w:rPr>
          <w:rFonts w:eastAsia="Calibri" w:cs="Times New Roman" w:ascii="Times New Roman" w:hAnsi="Times New Roman"/>
          <w:b w:val="false"/>
          <w:bCs w:val="false"/>
        </w:rPr>
        <w:t>4. održavanje javnih zelenih površina</w:t>
      </w:r>
    </w:p>
    <w:p>
      <w:pPr>
        <w:pStyle w:val="Normal"/>
        <w:jc w:val="both"/>
        <w:rPr>
          <w:b w:val="false"/>
          <w:b w:val="false"/>
          <w:bCs w:val="false"/>
        </w:rPr>
      </w:pPr>
      <w:r>
        <w:rPr>
          <w:rFonts w:eastAsia="Calibri" w:cs="Times New Roman" w:ascii="Times New Roman" w:hAnsi="Times New Roman"/>
          <w:b w:val="false"/>
          <w:bCs w:val="false"/>
        </w:rPr>
        <w:t>- Održavanje javnih površina                                                                    10.000,00 EUR</w:t>
      </w:r>
    </w:p>
    <w:p>
      <w:pPr>
        <w:pStyle w:val="Normal"/>
        <w:jc w:val="both"/>
        <w:rPr>
          <w:b w:val="false"/>
          <w:b w:val="false"/>
          <w:bCs w:val="false"/>
        </w:rPr>
      </w:pPr>
      <w:r>
        <w:rPr>
          <w:rFonts w:eastAsia="Calibri" w:cs="Times New Roman" w:ascii="Times New Roman" w:hAnsi="Times New Roman"/>
          <w:b w:val="false"/>
          <w:bCs w:val="false"/>
        </w:rPr>
        <w:t>5. održavanje građevina, uređaja i predmeta javne namjene                     8.000,00 EUR</w:t>
      </w:r>
    </w:p>
    <w:p>
      <w:pPr>
        <w:pStyle w:val="Normal"/>
        <w:jc w:val="both"/>
        <w:rPr>
          <w:b w:val="false"/>
          <w:b w:val="false"/>
          <w:bCs w:val="false"/>
        </w:rPr>
      </w:pPr>
      <w:r>
        <w:rPr>
          <w:rFonts w:eastAsia="Calibri" w:cs="Times New Roman" w:ascii="Times New Roman" w:hAnsi="Times New Roman"/>
          <w:b w:val="false"/>
          <w:bCs w:val="false"/>
        </w:rPr>
        <w:t>6. održavanje groblja i krematorija unutar groblja</w:t>
      </w:r>
    </w:p>
    <w:p>
      <w:pPr>
        <w:pStyle w:val="Normal"/>
        <w:jc w:val="both"/>
        <w:rPr>
          <w:b w:val="false"/>
          <w:b w:val="false"/>
          <w:bCs w:val="false"/>
        </w:rPr>
      </w:pPr>
      <w:r>
        <w:rPr>
          <w:rFonts w:eastAsia="Calibri" w:cs="Times New Roman" w:ascii="Times New Roman" w:hAnsi="Times New Roman"/>
          <w:b w:val="false"/>
          <w:bCs w:val="false"/>
        </w:rPr>
        <w:t>- Uređenje groblja i parking na groblju                                                            0,00 EUR</w:t>
      </w:r>
    </w:p>
    <w:p>
      <w:pPr>
        <w:pStyle w:val="Normal"/>
        <w:jc w:val="both"/>
        <w:rPr>
          <w:b w:val="false"/>
          <w:b w:val="false"/>
          <w:bCs w:val="false"/>
        </w:rPr>
      </w:pPr>
      <w:r>
        <w:rPr>
          <w:rFonts w:eastAsia="Calibri" w:cs="Times New Roman" w:ascii="Times New Roman" w:hAnsi="Times New Roman"/>
          <w:b w:val="false"/>
          <w:bCs w:val="false"/>
        </w:rPr>
        <w:t>7. održavanje čistoće javnih površina                                                              0,00 EUR</w:t>
      </w:r>
    </w:p>
    <w:p>
      <w:pPr>
        <w:pStyle w:val="Normal"/>
        <w:jc w:val="both"/>
        <w:rPr>
          <w:b w:val="false"/>
          <w:b w:val="false"/>
          <w:bCs w:val="false"/>
        </w:rPr>
      </w:pPr>
      <w:r>
        <w:rPr>
          <w:rFonts w:eastAsia="Calibri" w:cs="Times New Roman" w:ascii="Times New Roman" w:hAnsi="Times New Roman"/>
          <w:b w:val="false"/>
          <w:bCs w:val="false"/>
        </w:rPr>
        <w:t>8. održavanje javne rasvjete</w:t>
      </w:r>
    </w:p>
    <w:p>
      <w:pPr>
        <w:pStyle w:val="Normal"/>
        <w:jc w:val="both"/>
        <w:rPr>
          <w:b w:val="false"/>
          <w:b w:val="false"/>
          <w:bCs w:val="false"/>
        </w:rPr>
      </w:pPr>
      <w:r>
        <w:rPr>
          <w:rFonts w:eastAsia="Calibri" w:cs="Times New Roman" w:ascii="Times New Roman" w:hAnsi="Times New Roman"/>
          <w:b w:val="false"/>
          <w:bCs w:val="false"/>
        </w:rPr>
        <w:t>- Održavanje javne rasvjeta                                                                          500,00 EUR</w:t>
      </w:r>
    </w:p>
    <w:p>
      <w:pPr>
        <w:pStyle w:val="Normal"/>
        <w:jc w:val="both"/>
        <w:rPr>
          <w:b w:val="false"/>
          <w:b w:val="false"/>
          <w:bCs w:val="false"/>
        </w:rPr>
      </w:pPr>
      <w:r>
        <w:rPr>
          <w:rFonts w:eastAsia="Calibri" w:cs="Times New Roman" w:ascii="Times New Roman" w:hAnsi="Times New Roman"/>
          <w:b w:val="false"/>
          <w:bCs w:val="false"/>
        </w:rPr>
        <w:t>- Podmirenje troškova električne energije                                               16.000,00 EUR</w:t>
      </w:r>
    </w:p>
    <w:p>
      <w:pPr>
        <w:pStyle w:val="Normal"/>
        <w:jc w:val="both"/>
        <w:rPr>
          <w:b w:val="false"/>
          <w:b w:val="false"/>
          <w:bCs w:val="false"/>
        </w:rPr>
      </w:pPr>
      <w:r>
        <w:rPr>
          <w:rFonts w:eastAsia="Calibri" w:cs="Times New Roman" w:ascii="Times New Roman" w:hAnsi="Times New Roman"/>
          <w:b w:val="false"/>
          <w:bCs w:val="false"/>
        </w:rPr>
        <w:t>9. sanacija divljih odlagališta</w:t>
      </w:r>
    </w:p>
    <w:p>
      <w:pPr>
        <w:pStyle w:val="Normal"/>
        <w:jc w:val="both"/>
        <w:rPr>
          <w:b w:val="false"/>
          <w:b w:val="false"/>
          <w:bCs w:val="false"/>
        </w:rPr>
      </w:pPr>
      <w:r>
        <w:rPr>
          <w:rFonts w:eastAsia="Calibri" w:cs="Times New Roman" w:ascii="Times New Roman" w:hAnsi="Times New Roman"/>
          <w:b w:val="false"/>
          <w:bCs w:val="false"/>
        </w:rPr>
        <w:t>- Divlja deponija Grabovo                                                                               0,00 EUR</w:t>
      </w:r>
    </w:p>
    <w:p>
      <w:pPr>
        <w:pStyle w:val="Normal"/>
        <w:jc w:val="both"/>
        <w:rPr>
          <w:b w:val="false"/>
          <w:b w:val="false"/>
          <w:bCs w:val="false"/>
        </w:rPr>
      </w:pPr>
      <w:r>
        <w:rPr>
          <w:rFonts w:eastAsia="Calibri" w:cs="Times New Roman" w:ascii="Times New Roman" w:hAnsi="Times New Roman"/>
          <w:b w:val="false"/>
          <w:bCs w:val="false"/>
        </w:rPr>
        <w:t>- Usluge čišćenja divljih deponija                                                                   0,00 EUR</w:t>
      </w:r>
    </w:p>
    <w:p>
      <w:pPr>
        <w:pStyle w:val="Normal"/>
        <w:jc w:val="both"/>
        <w:rPr>
          <w:b w:val="false"/>
          <w:b w:val="false"/>
          <w:bCs w:val="false"/>
        </w:rPr>
      </w:pPr>
      <w:r>
        <w:rPr>
          <w:rFonts w:eastAsia="Calibri" w:cs="Times New Roman" w:ascii="Times New Roman" w:hAnsi="Times New Roman"/>
          <w:b w:val="false"/>
          <w:bCs w:val="false"/>
        </w:rPr>
        <w:t>10. dezinfekcija, dezinsekcija i deratizacija</w:t>
      </w:r>
    </w:p>
    <w:p>
      <w:pPr>
        <w:pStyle w:val="Normal"/>
        <w:jc w:val="both"/>
        <w:rPr>
          <w:b w:val="false"/>
          <w:b w:val="false"/>
          <w:bCs w:val="false"/>
        </w:rPr>
      </w:pPr>
      <w:r>
        <w:rPr>
          <w:rFonts w:eastAsia="Calibri" w:cs="Times New Roman" w:ascii="Times New Roman" w:hAnsi="Times New Roman"/>
          <w:b w:val="false"/>
          <w:bCs w:val="false"/>
        </w:rPr>
        <w:t>- Dezinsekcija komaraca i stršljenova                                                     10.300,00 EUR</w:t>
      </w:r>
    </w:p>
    <w:p>
      <w:pPr>
        <w:pStyle w:val="Normal"/>
        <w:jc w:val="both"/>
        <w:rPr>
          <w:b w:val="false"/>
          <w:b w:val="false"/>
          <w:bCs w:val="false"/>
        </w:rPr>
      </w:pPr>
      <w:r>
        <w:rPr>
          <w:rFonts w:eastAsia="Calibri" w:cs="Times New Roman" w:ascii="Times New Roman" w:hAnsi="Times New Roman"/>
          <w:b w:val="false"/>
          <w:bCs w:val="false"/>
        </w:rPr>
        <w:t>- Deratizacija                                                                                             5.000,00 EUR</w:t>
      </w:r>
    </w:p>
    <w:p>
      <w:pPr>
        <w:pStyle w:val="Normal"/>
        <w:jc w:val="both"/>
        <w:rPr>
          <w:b w:val="false"/>
          <w:b w:val="false"/>
          <w:bCs w:val="false"/>
        </w:rPr>
      </w:pPr>
      <w:r>
        <w:rPr>
          <w:rFonts w:eastAsia="Calibri" w:cs="Times New Roman" w:ascii="Times New Roman" w:hAnsi="Times New Roman"/>
          <w:b w:val="false"/>
          <w:bCs w:val="false"/>
        </w:rPr>
        <w:t>11. neškodljivo uklanjanje lešina</w:t>
      </w:r>
    </w:p>
    <w:p>
      <w:pPr>
        <w:pStyle w:val="Normal"/>
        <w:jc w:val="both"/>
        <w:rPr>
          <w:b w:val="false"/>
          <w:b w:val="false"/>
          <w:bCs w:val="false"/>
        </w:rPr>
      </w:pPr>
      <w:r>
        <w:rPr>
          <w:rFonts w:eastAsia="Calibri" w:cs="Times New Roman" w:ascii="Times New Roman" w:hAnsi="Times New Roman"/>
          <w:b w:val="false"/>
          <w:bCs w:val="false"/>
        </w:rPr>
        <w:t>- Animalni otpad                                                                                        1.000,00 EUR</w:t>
      </w:r>
    </w:p>
    <w:p>
      <w:pPr>
        <w:pStyle w:val="Normal"/>
        <w:jc w:val="both"/>
        <w:rPr>
          <w:color w:val="000000"/>
        </w:rPr>
      </w:pPr>
      <w:r>
        <w:rPr>
          <w:rFonts w:eastAsia="Calibri" w:cs="Times New Roman" w:ascii="Times New Roman" w:hAnsi="Times New Roman"/>
          <w:b/>
          <w:bCs/>
          <w:color w:val="000000"/>
          <w:lang w:val="hr-HR"/>
        </w:rPr>
        <w:t xml:space="preserve">UKUPNO:       </w:t>
        <w:tab/>
        <w:tab/>
        <w:tab/>
        <w:tab/>
        <w:tab/>
        <w:tab/>
        <w:t xml:space="preserve">                     76.640,00 EUR</w:t>
      </w:r>
    </w:p>
    <w:p>
      <w:pPr>
        <w:pStyle w:val="Normal"/>
        <w:jc w:val="both"/>
        <w:rPr>
          <w:rFonts w:ascii="Times New Roman" w:hAnsi="Times New Roman" w:eastAsia="Calibri" w:cs="Times New Roman"/>
          <w:b/>
          <w:b/>
          <w:color w:val="000000"/>
          <w:lang w:val="hr-HR"/>
        </w:rPr>
      </w:pPr>
      <w:r>
        <w:rPr>
          <w:rFonts w:eastAsia="Calibri" w:cs="Times New Roman" w:ascii="Times New Roman" w:hAnsi="Times New Roman"/>
          <w:b/>
          <w:color w:val="000000"/>
          <w:lang w:val="hr-HR"/>
        </w:rPr>
      </w:r>
    </w:p>
    <w:p>
      <w:pPr>
        <w:pStyle w:val="Normal"/>
        <w:jc w:val="both"/>
        <w:rPr>
          <w:rFonts w:ascii="Times New Roman" w:hAnsi="Times New Roman"/>
          <w:lang w:val="hr-HR"/>
        </w:rPr>
      </w:pPr>
      <w:r>
        <w:rPr>
          <w:rFonts w:eastAsia="Calibri" w:cs="Times New Roman" w:ascii="Times New Roman" w:hAnsi="Times New Roman"/>
          <w:b/>
          <w:lang w:val="hr-HR"/>
        </w:rPr>
        <w:t>Održavanje nerazvrstanih cesta (sanacija i tekuće održavanje)</w:t>
      </w:r>
    </w:p>
    <w:p>
      <w:pPr>
        <w:pStyle w:val="Normal"/>
        <w:ind w:firstLine="720"/>
        <w:jc w:val="both"/>
        <w:rPr>
          <w:rFonts w:ascii="Times New Roman" w:hAnsi="Times New Roman"/>
          <w:lang w:val="hr-HR"/>
        </w:rPr>
      </w:pPr>
      <w:r>
        <w:rPr>
          <w:rFonts w:eastAsia="Calibri" w:cs="Times New Roman" w:ascii="Times New Roman" w:hAnsi="Times New Roman"/>
          <w:bCs/>
          <w:lang w:val="hr-HR"/>
        </w:rPr>
        <w:t>Planirani iznos za ove radov</w:t>
      </w:r>
      <w:r>
        <w:rPr>
          <w:rFonts w:eastAsia="Calibri" w:cs="Times New Roman" w:ascii="Times New Roman" w:hAnsi="Times New Roman"/>
          <w:bCs/>
          <w:color w:val="000000"/>
          <w:lang w:val="hr-HR"/>
        </w:rPr>
        <w:t>e iznosi 5.840,00</w:t>
      </w:r>
      <w:r>
        <w:rPr>
          <w:rFonts w:eastAsia="Calibri" w:cs="Times New Roman" w:ascii="Times New Roman" w:hAnsi="Times New Roman"/>
          <w:bCs/>
          <w:iCs/>
          <w:color w:val="000000"/>
          <w:lang w:val="hr-HR"/>
        </w:rPr>
        <w:t xml:space="preserve"> EUR</w:t>
      </w:r>
      <w:r>
        <w:rPr>
          <w:rFonts w:eastAsia="Calibri" w:cs="Times New Roman" w:ascii="Times New Roman" w:hAnsi="Times New Roman"/>
          <w:bCs/>
          <w:color w:val="000000"/>
          <w:lang w:val="hr-HR"/>
        </w:rPr>
        <w:t>.</w:t>
      </w:r>
    </w:p>
    <w:p>
      <w:pPr>
        <w:pStyle w:val="Normal"/>
        <w:ind w:firstLine="720"/>
        <w:jc w:val="both"/>
        <w:rPr>
          <w:rFonts w:ascii="Times New Roman" w:hAnsi="Times New Roman"/>
          <w:lang w:val="hr-HR"/>
        </w:rPr>
      </w:pPr>
      <w:r>
        <w:rPr>
          <w:rFonts w:eastAsia="Calibri" w:cs="Times New Roman" w:ascii="Times New Roman" w:hAnsi="Times New Roman"/>
          <w:bCs/>
          <w:lang w:val="hr-HR"/>
        </w:rPr>
        <w:t xml:space="preserve">Pod održavanjem nerazvrstanih cesta podrazumijeva se skup mjera i radnji koje se obavljaju tijekom cijele godine na nerazvrstanim cestama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 a u skladu s propisima kojima je uređeno održavanje cesta. Obuhvaća održavanje, rekonstrukciju, sanaciju nerazvrstanih cesta i poljskih putova, te čišćenje snijega i leda u okviru zimske službe na prometnicama i </w:t>
      </w:r>
      <w:r>
        <w:rPr>
          <w:rFonts w:ascii="Times New Roman" w:hAnsi="Times New Roman"/>
          <w:bCs/>
          <w:lang w:val="hr-HR"/>
        </w:rPr>
        <w:t>vršenje građevinskih i drugih radova radi očuvanja bitnih zahtjeva za prometnicu tijekom njenog trajanja (sa</w:t>
      </w:r>
      <w:r>
        <w:rPr>
          <w:rFonts w:ascii="Times New Roman" w:hAnsi="Times New Roman"/>
          <w:lang w:val="hr-HR"/>
        </w:rPr>
        <w:t>naciju oštećenih asfaltnih površina, udarnih rupa, ulegnuća, mrežastih oštećenja i sl. na kolnicima). Tekuće održavanje nerazvrstanih cesta provodi se temeljem Operativnog programa održavanja nerazvrstanih cesta u zimskom razdoblju u sezoni 2024./2025. (period od 15.11.2024. godine do 15.03.2025. godine). Obuhvaća troškove čišćenja snijega, posipavanje snijega i leda. Ukupna dužina nerazvrstanih cesta iznosi 3.546,00 m, a procjena troškova temelji se na dužini dionica ceste, sata rada angažiranih strojeva i ljudi te cijene posipala.</w:t>
      </w:r>
    </w:p>
    <w:p>
      <w:pPr>
        <w:pStyle w:val="Normal"/>
        <w:jc w:val="center"/>
        <w:rPr>
          <w:rFonts w:ascii="Times New Roman" w:hAnsi="Times New Roman" w:eastAsia="Calibri" w:cs="Times New Roman"/>
          <w:b/>
          <w:b/>
          <w:lang w:val="hr-HR"/>
        </w:rPr>
      </w:pPr>
      <w:r>
        <w:rPr>
          <w:rFonts w:eastAsia="Calibri" w:cs="Times New Roman" w:ascii="Times New Roman" w:hAnsi="Times New Roman"/>
          <w:b/>
          <w:lang w:val="hr-HR"/>
        </w:rPr>
      </w:r>
    </w:p>
    <w:p>
      <w:pPr>
        <w:pStyle w:val="Normal"/>
        <w:jc w:val="both"/>
        <w:rPr>
          <w:rFonts w:ascii="Times New Roman" w:hAnsi="Times New Roman"/>
          <w:lang w:val="hr-HR"/>
        </w:rPr>
      </w:pPr>
      <w:r>
        <w:rPr>
          <w:rFonts w:eastAsia="Calibri" w:cs="Times New Roman" w:ascii="Times New Roman" w:hAnsi="Times New Roman"/>
          <w:b/>
          <w:lang w:val="hr-HR"/>
        </w:rPr>
        <w:t>Održavanje javnih površina na kojima nije dopušten promet motornim vozilima</w:t>
      </w:r>
    </w:p>
    <w:p>
      <w:pPr>
        <w:pStyle w:val="Normal"/>
        <w:ind w:firstLine="720"/>
        <w:jc w:val="both"/>
        <w:rPr>
          <w:rFonts w:ascii="Times New Roman" w:hAnsi="Times New Roman"/>
          <w:lang w:val="hr-HR"/>
        </w:rPr>
      </w:pPr>
      <w:r>
        <w:rPr>
          <w:rFonts w:eastAsia="Calibri" w:cs="Times New Roman" w:ascii="Times New Roman" w:hAnsi="Times New Roman"/>
          <w:bCs/>
          <w:lang w:val="hr-HR"/>
        </w:rPr>
        <w:t>Planirani iznos za ove radova i</w:t>
      </w:r>
      <w:r>
        <w:rPr>
          <w:rFonts w:eastAsia="Calibri" w:cs="Times New Roman" w:ascii="Times New Roman" w:hAnsi="Times New Roman"/>
          <w:bCs/>
          <w:color w:val="000000"/>
          <w:lang w:val="hr-HR"/>
        </w:rPr>
        <w:t>znosi 20.000,00</w:t>
      </w:r>
      <w:r>
        <w:rPr>
          <w:rFonts w:eastAsia="Calibri" w:cs="Times New Roman" w:ascii="Times New Roman" w:hAnsi="Times New Roman"/>
          <w:bCs/>
          <w:iCs/>
          <w:color w:val="000000"/>
          <w:lang w:val="hr-HR"/>
        </w:rPr>
        <w:t xml:space="preserve"> EUR</w:t>
      </w:r>
      <w:r>
        <w:rPr>
          <w:rFonts w:eastAsia="Calibri" w:cs="Times New Roman" w:ascii="Times New Roman" w:hAnsi="Times New Roman"/>
          <w:bCs/>
          <w:color w:val="000000"/>
          <w:lang w:val="hr-HR"/>
        </w:rPr>
        <w:t>.</w:t>
      </w:r>
    </w:p>
    <w:p>
      <w:pPr>
        <w:pStyle w:val="Normal"/>
        <w:ind w:firstLine="720"/>
        <w:jc w:val="both"/>
        <w:rPr>
          <w:rFonts w:ascii="Times New Roman" w:hAnsi="Times New Roman"/>
          <w:lang w:val="hr-HR"/>
        </w:rPr>
      </w:pPr>
      <w:r>
        <w:rPr>
          <w:rFonts w:eastAsia="Calibri" w:cs="Times New Roman" w:ascii="Times New Roman" w:hAnsi="Times New Roman"/>
          <w:bCs/>
          <w:lang w:val="hr-HR"/>
        </w:rPr>
        <w:t>Održavanje javnih površina na kojima nije dopušten promet motornih vozila podrazumijeva vršenje građevinskih i drugih radova kojima se osigurava njihova funkcionalna ispravnost tijekom njihovog trajanja (sanaciju oštećenja, ulegnuća, pukotina i sl. na javnim površinama).</w:t>
      </w:r>
    </w:p>
    <w:p>
      <w:pPr>
        <w:pStyle w:val="Normal"/>
        <w:ind w:firstLine="720"/>
        <w:jc w:val="both"/>
        <w:rPr>
          <w:rFonts w:ascii="Times New Roman" w:hAnsi="Times New Roman"/>
          <w:lang w:val="hr-HR"/>
        </w:rPr>
      </w:pPr>
      <w:r>
        <w:rPr>
          <w:rFonts w:eastAsia="Calibri" w:cs="Times New Roman" w:ascii="Times New Roman" w:hAnsi="Times New Roman"/>
          <w:bCs/>
          <w:lang w:val="hr-HR"/>
        </w:rPr>
        <w:t>Javne površine na kojima nije dopušten promet motornih vozila podrazumijevaju: pješačke staze, trgove, pločnike, javne prolaze, prečace, ako nisu sastavni dio nerazvrstane ili druge ceste.</w:t>
      </w:r>
    </w:p>
    <w:p>
      <w:pPr>
        <w:pStyle w:val="Normal"/>
        <w:jc w:val="center"/>
        <w:rPr>
          <w:rFonts w:ascii="Times New Roman" w:hAnsi="Times New Roman" w:eastAsia="Calibri" w:cs="Times New Roman"/>
          <w:b/>
          <w:b/>
          <w:lang w:val="hr-HR"/>
        </w:rPr>
      </w:pPr>
      <w:r>
        <w:rPr>
          <w:rFonts w:eastAsia="Calibri" w:cs="Times New Roman" w:ascii="Times New Roman" w:hAnsi="Times New Roman"/>
          <w:b/>
          <w:lang w:val="hr-HR"/>
        </w:rPr>
      </w:r>
    </w:p>
    <w:p>
      <w:pPr>
        <w:pStyle w:val="Normal"/>
        <w:jc w:val="both"/>
        <w:rPr>
          <w:rFonts w:ascii="Times New Roman" w:hAnsi="Times New Roman"/>
          <w:lang w:val="hr-HR"/>
        </w:rPr>
      </w:pPr>
      <w:r>
        <w:rPr>
          <w:rFonts w:eastAsia="Calibri" w:cs="Times New Roman" w:ascii="Times New Roman" w:hAnsi="Times New Roman"/>
          <w:b/>
          <w:lang w:val="hr-HR"/>
        </w:rPr>
        <w:t>Održavanje javnih zelenih površina</w:t>
      </w:r>
    </w:p>
    <w:p>
      <w:pPr>
        <w:pStyle w:val="Normal"/>
        <w:ind w:firstLine="720"/>
        <w:jc w:val="both"/>
        <w:rPr>
          <w:rFonts w:ascii="Times New Roman" w:hAnsi="Times New Roman"/>
          <w:lang w:val="hr-HR"/>
        </w:rPr>
      </w:pPr>
      <w:r>
        <w:rPr>
          <w:rFonts w:eastAsia="Calibri" w:cs="Times New Roman" w:ascii="Times New Roman" w:hAnsi="Times New Roman"/>
          <w:bCs/>
          <w:lang w:val="hr-HR"/>
        </w:rPr>
        <w:t>Planirani iznos za ove rad</w:t>
      </w:r>
      <w:r>
        <w:rPr>
          <w:rFonts w:eastAsia="Calibri" w:cs="Times New Roman" w:ascii="Times New Roman" w:hAnsi="Times New Roman"/>
          <w:bCs/>
          <w:color w:val="000000"/>
          <w:lang w:val="hr-HR"/>
        </w:rPr>
        <w:t xml:space="preserve">ove iznosi </w:t>
      </w:r>
      <w:r>
        <w:rPr>
          <w:rFonts w:eastAsia="Calibri" w:cs="Times New Roman" w:ascii="Times New Roman" w:hAnsi="Times New Roman"/>
          <w:bCs/>
          <w:iCs/>
          <w:color w:val="000000"/>
          <w:lang w:val="hr-HR"/>
        </w:rPr>
        <w:t>10.000,00 EUR</w:t>
      </w:r>
      <w:r>
        <w:rPr>
          <w:rFonts w:eastAsia="Calibri" w:cs="Times New Roman" w:ascii="Times New Roman" w:hAnsi="Times New Roman"/>
          <w:bCs/>
          <w:color w:val="000000"/>
          <w:lang w:val="hr-HR"/>
        </w:rPr>
        <w:t>.</w:t>
      </w:r>
    </w:p>
    <w:p>
      <w:pPr>
        <w:pStyle w:val="Normal"/>
        <w:ind w:firstLine="720"/>
        <w:jc w:val="both"/>
        <w:rPr>
          <w:rFonts w:ascii="Times New Roman" w:hAnsi="Times New Roman"/>
          <w:lang w:val="hr-HR"/>
        </w:rPr>
      </w:pPr>
      <w:r>
        <w:rPr>
          <w:rFonts w:eastAsia="Calibri" w:cs="Times New Roman" w:ascii="Times New Roman" w:hAnsi="Times New Roman"/>
          <w:bCs/>
          <w:lang w:val="hr-HR"/>
        </w:rPr>
        <w:t>Pod održavanjem javnih zelenih površina podrazumijeva se košnja, obrezivanje, sakupljanje biološkog otpada s javnih zelenih površina, obnova, održavanje i njega drveća, ukrasnog grmlja i drugog bilja, popločenih površina i površina u parkovima, fitosanitarna zaštita bilja i biljnog materijala za potrebe održavanja i drugi poslovi potrebni za održavanje tih površina.</w:t>
      </w:r>
    </w:p>
    <w:p>
      <w:pPr>
        <w:pStyle w:val="Normal"/>
        <w:ind w:firstLine="720"/>
        <w:jc w:val="both"/>
        <w:rPr>
          <w:rFonts w:ascii="Times New Roman" w:hAnsi="Times New Roman"/>
          <w:lang w:val="hr-HR"/>
        </w:rPr>
      </w:pPr>
      <w:r>
        <w:rPr>
          <w:rFonts w:eastAsia="Calibri" w:cs="Times New Roman" w:ascii="Times New Roman" w:hAnsi="Times New Roman"/>
          <w:bCs/>
          <w:lang w:val="hr-HR"/>
        </w:rPr>
        <w:t>Radovi na održavanju javnih zelenih površina sastoje se od:</w:t>
      </w:r>
    </w:p>
    <w:p>
      <w:pPr>
        <w:pStyle w:val="Normal"/>
        <w:jc w:val="both"/>
        <w:rPr>
          <w:rFonts w:ascii="Times New Roman" w:hAnsi="Times New Roman"/>
          <w:lang w:val="hr-HR"/>
        </w:rPr>
      </w:pPr>
      <w:r>
        <w:rPr>
          <w:rFonts w:eastAsia="Calibri" w:cs="Times New Roman" w:ascii="Times New Roman" w:hAnsi="Times New Roman"/>
          <w:bCs/>
          <w:lang w:val="hr-HR"/>
        </w:rPr>
        <w:t>-redovnih i izvanrednih hortikulturnih radova – održavanje i njega travnjaka površine 27.000 m</w:t>
      </w:r>
      <w:r>
        <w:rPr>
          <w:rFonts w:eastAsia="Calibri" w:cs="Times New Roman" w:ascii="Times New Roman" w:hAnsi="Times New Roman"/>
          <w:bCs/>
          <w:vertAlign w:val="superscript"/>
          <w:lang w:val="hr-HR"/>
        </w:rPr>
        <w:t>2</w:t>
      </w:r>
      <w:r>
        <w:rPr>
          <w:rFonts w:eastAsia="Calibri" w:cs="Times New Roman" w:ascii="Times New Roman" w:hAnsi="Times New Roman"/>
          <w:bCs/>
          <w:lang w:val="hr-HR"/>
        </w:rPr>
        <w:t xml:space="preserve"> (košenje i skupljanje trave i lišća, prozračivanje i obnova travnjaka), održavanje i njega sezonskih i trajnih cvjetnjaka, cvjetnih vaza, grmova, živica i stabala,</w:t>
      </w:r>
    </w:p>
    <w:p>
      <w:pPr>
        <w:pStyle w:val="Normal"/>
        <w:jc w:val="both"/>
        <w:rPr>
          <w:rFonts w:ascii="Times New Roman" w:hAnsi="Times New Roman"/>
          <w:lang w:val="hr-HR"/>
        </w:rPr>
      </w:pPr>
      <w:r>
        <w:rPr>
          <w:rFonts w:eastAsia="Calibri" w:cs="Times New Roman" w:ascii="Times New Roman" w:hAnsi="Times New Roman"/>
          <w:bCs/>
          <w:lang w:val="hr-HR"/>
        </w:rPr>
        <w:t>- održavanje nasada drveća podrazumijeva okopavanje, oblikovanje, odrezivanje bolesnih i starih grana, odrezivanje grana koje smetaju prometu, skupljanje grana i odvoz na odlagalište, sadnju novih stablašica,</w:t>
      </w:r>
    </w:p>
    <w:p>
      <w:pPr>
        <w:pStyle w:val="Normal"/>
        <w:jc w:val="both"/>
        <w:rPr>
          <w:rFonts w:ascii="Times New Roman" w:hAnsi="Times New Roman"/>
          <w:lang w:val="hr-HR"/>
        </w:rPr>
      </w:pPr>
      <w:r>
        <w:rPr>
          <w:rFonts w:eastAsia="Calibri" w:cs="Times New Roman" w:ascii="Times New Roman" w:hAnsi="Times New Roman"/>
          <w:bCs/>
          <w:lang w:val="hr-HR"/>
        </w:rPr>
        <w:t>- održavanje živice podrazumijeva oblikovanje živice, zamjenu-sadnju novih sadnica živice,</w:t>
      </w:r>
    </w:p>
    <w:p>
      <w:pPr>
        <w:pStyle w:val="Normal"/>
        <w:jc w:val="both"/>
        <w:rPr>
          <w:rFonts w:ascii="Times New Roman" w:hAnsi="Times New Roman"/>
          <w:lang w:val="hr-HR"/>
        </w:rPr>
      </w:pPr>
      <w:r>
        <w:rPr>
          <w:rFonts w:eastAsia="Calibri" w:cs="Times New Roman" w:ascii="Times New Roman" w:hAnsi="Times New Roman"/>
          <w:bCs/>
          <w:lang w:val="hr-HR"/>
        </w:rPr>
        <w:t>skupljanje grana i odvoz na odlagalište,</w:t>
      </w:r>
    </w:p>
    <w:p>
      <w:pPr>
        <w:pStyle w:val="Normal"/>
        <w:jc w:val="both"/>
        <w:rPr>
          <w:rFonts w:ascii="Times New Roman" w:hAnsi="Times New Roman"/>
          <w:lang w:val="hr-HR"/>
        </w:rPr>
      </w:pPr>
      <w:r>
        <w:rPr>
          <w:rFonts w:eastAsia="Calibri" w:cs="Times New Roman" w:ascii="Times New Roman" w:hAnsi="Times New Roman"/>
          <w:bCs/>
          <w:lang w:val="hr-HR"/>
        </w:rPr>
        <w:t>- nabave sadnog materijala – sezonskih cvjetnica, trajnica, grmova, stabala, travnih busena i dr.</w:t>
      </w:r>
    </w:p>
    <w:p>
      <w:pPr>
        <w:pStyle w:val="Normal"/>
        <w:jc w:val="both"/>
        <w:rPr>
          <w:rFonts w:ascii="Times New Roman" w:hAnsi="Times New Roman"/>
          <w:lang w:val="hr-HR"/>
        </w:rPr>
      </w:pPr>
      <w:r>
        <w:rPr>
          <w:rFonts w:eastAsia="Calibri" w:cs="Times New Roman" w:ascii="Times New Roman" w:hAnsi="Times New Roman"/>
          <w:bCs/>
          <w:lang w:val="hr-HR"/>
        </w:rPr>
        <w:t>- održavanja cvjetnih gredica koje podrazumijeva štihanje, gnojenje, sađenje, zalijevanje, pljevljenje i okopavanje,</w:t>
      </w:r>
    </w:p>
    <w:p>
      <w:pPr>
        <w:pStyle w:val="Normal"/>
        <w:jc w:val="both"/>
        <w:rPr>
          <w:rFonts w:ascii="Times New Roman" w:hAnsi="Times New Roman"/>
          <w:lang w:val="hr-HR"/>
        </w:rPr>
      </w:pPr>
      <w:r>
        <w:rPr>
          <w:rFonts w:eastAsia="Calibri" w:cs="Times New Roman" w:ascii="Times New Roman" w:hAnsi="Times New Roman"/>
          <w:bCs/>
          <w:lang w:val="hr-HR"/>
        </w:rPr>
        <w:t>- navodnjavanje javnih zelenih površina na području Općine.</w:t>
      </w:r>
    </w:p>
    <w:p>
      <w:pPr>
        <w:pStyle w:val="Normal"/>
        <w:jc w:val="both"/>
        <w:rPr>
          <w:rFonts w:ascii="Times New Roman" w:hAnsi="Times New Roman" w:eastAsia="Calibri" w:cs="Times New Roman"/>
          <w:bCs/>
          <w:lang w:val="hr-HR"/>
        </w:rPr>
      </w:pPr>
      <w:r>
        <w:rPr>
          <w:rFonts w:eastAsia="Calibri" w:cs="Times New Roman" w:ascii="Times New Roman" w:hAnsi="Times New Roman"/>
          <w:bCs/>
          <w:lang w:val="hr-HR"/>
        </w:rPr>
      </w:r>
    </w:p>
    <w:p>
      <w:pPr>
        <w:pStyle w:val="Normal"/>
        <w:rPr>
          <w:rFonts w:ascii="Times New Roman" w:hAnsi="Times New Roman"/>
          <w:lang w:val="hr-HR"/>
        </w:rPr>
      </w:pPr>
      <w:r>
        <w:rPr>
          <w:rFonts w:eastAsia="Calibri" w:cs="Times New Roman" w:ascii="Times New Roman" w:hAnsi="Times New Roman"/>
          <w:b/>
          <w:lang w:val="hr-HR"/>
        </w:rPr>
        <w:t>Održavanje groblja i kapele unutar groblja</w:t>
      </w:r>
    </w:p>
    <w:p>
      <w:pPr>
        <w:pStyle w:val="Normal"/>
        <w:ind w:firstLine="720"/>
        <w:jc w:val="both"/>
        <w:rPr>
          <w:rFonts w:ascii="Times New Roman" w:hAnsi="Times New Roman"/>
          <w:lang w:val="hr-HR"/>
        </w:rPr>
      </w:pPr>
      <w:r>
        <w:rPr>
          <w:rFonts w:eastAsia="Calibri" w:cs="Times New Roman" w:ascii="Times New Roman" w:hAnsi="Times New Roman"/>
          <w:bCs/>
          <w:lang w:val="hr-HR"/>
        </w:rPr>
        <w:t>Planirani iznos za ov</w:t>
      </w:r>
      <w:r>
        <w:rPr>
          <w:rFonts w:eastAsia="Calibri" w:cs="Times New Roman" w:ascii="Times New Roman" w:hAnsi="Times New Roman"/>
          <w:bCs/>
          <w:color w:val="000000"/>
          <w:lang w:val="hr-HR"/>
        </w:rPr>
        <w:t xml:space="preserve">e radove iznosi </w:t>
      </w:r>
      <w:r>
        <w:rPr>
          <w:rFonts w:eastAsia="Calibri" w:cs="Times New Roman" w:ascii="Times New Roman" w:hAnsi="Times New Roman"/>
          <w:bCs/>
          <w:iCs/>
          <w:color w:val="000000"/>
          <w:lang w:val="hr-HR"/>
        </w:rPr>
        <w:t xml:space="preserve"> 0,00 EUR</w:t>
      </w:r>
      <w:r>
        <w:rPr>
          <w:rFonts w:eastAsia="Calibri" w:cs="Times New Roman" w:ascii="Times New Roman" w:hAnsi="Times New Roman"/>
          <w:bCs/>
          <w:color w:val="000000"/>
          <w:lang w:val="hr-HR"/>
        </w:rPr>
        <w:t>.</w:t>
      </w:r>
    </w:p>
    <w:p>
      <w:pPr>
        <w:pStyle w:val="Normal"/>
        <w:ind w:firstLine="720"/>
        <w:jc w:val="both"/>
        <w:rPr>
          <w:rFonts w:ascii="Times New Roman" w:hAnsi="Times New Roman" w:eastAsia="Calibri" w:cs="Times New Roman"/>
          <w:bCs/>
          <w:lang w:val="hr-HR"/>
        </w:rPr>
      </w:pPr>
      <w:r>
        <w:rPr>
          <w:rFonts w:eastAsia="Calibri" w:cs="Times New Roman" w:ascii="Times New Roman" w:hAnsi="Times New Roman"/>
          <w:bCs/>
          <w:lang w:val="hr-HR"/>
        </w:rPr>
      </w:r>
    </w:p>
    <w:p>
      <w:pPr>
        <w:pStyle w:val="Normal"/>
        <w:rPr>
          <w:rFonts w:ascii="Times New Roman" w:hAnsi="Times New Roman"/>
          <w:lang w:val="hr-HR"/>
        </w:rPr>
      </w:pPr>
      <w:r>
        <w:rPr>
          <w:rFonts w:eastAsia="Calibri" w:cs="Times New Roman" w:ascii="Times New Roman" w:hAnsi="Times New Roman"/>
          <w:b/>
          <w:lang w:val="hr-HR"/>
        </w:rPr>
        <w:t>Javna rasvjeta</w:t>
      </w:r>
    </w:p>
    <w:p>
      <w:pPr>
        <w:pStyle w:val="Normal"/>
        <w:ind w:firstLine="720"/>
        <w:jc w:val="both"/>
        <w:rPr>
          <w:rFonts w:ascii="Times New Roman" w:hAnsi="Times New Roman"/>
          <w:lang w:val="hr-HR"/>
        </w:rPr>
      </w:pPr>
      <w:r>
        <w:rPr>
          <w:rFonts w:eastAsia="Calibri" w:cs="Times New Roman" w:ascii="Times New Roman" w:hAnsi="Times New Roman"/>
          <w:bCs/>
          <w:lang w:val="hr-HR"/>
        </w:rPr>
        <w:t>Planirani iznos za ja</w:t>
      </w:r>
      <w:r>
        <w:rPr>
          <w:rFonts w:eastAsia="Calibri" w:cs="Times New Roman" w:ascii="Times New Roman" w:hAnsi="Times New Roman"/>
          <w:bCs/>
          <w:color w:val="000000"/>
          <w:lang w:val="hr-HR"/>
        </w:rPr>
        <w:t>vnu rasvjetu 16.500,00 EUR.</w:t>
      </w:r>
    </w:p>
    <w:p>
      <w:pPr>
        <w:pStyle w:val="Normal"/>
        <w:ind w:firstLine="720"/>
        <w:jc w:val="both"/>
        <w:rPr>
          <w:rFonts w:ascii="Times New Roman" w:hAnsi="Times New Roman"/>
          <w:lang w:val="hr-HR"/>
        </w:rPr>
      </w:pPr>
      <w:r>
        <w:rPr>
          <w:rFonts w:eastAsia="Calibri" w:cs="Times New Roman" w:ascii="Times New Roman" w:hAnsi="Times New Roman"/>
          <w:bCs/>
          <w:lang w:val="hr-HR"/>
        </w:rPr>
        <w:t xml:space="preserve">Pod održavanjem javne rasvjete podrazumijeva se upravljanje i održavanje instalacija javne rasvjete, uključujući podmirivanje troškova električne energije, za rasvjetljavanje površina javne namjene. </w:t>
      </w:r>
    </w:p>
    <w:p>
      <w:pPr>
        <w:pStyle w:val="Normal"/>
        <w:ind w:firstLine="720"/>
        <w:jc w:val="both"/>
        <w:rPr>
          <w:rFonts w:ascii="Times New Roman" w:hAnsi="Times New Roman"/>
          <w:lang w:val="hr-HR"/>
        </w:rPr>
      </w:pPr>
      <w:r>
        <w:rPr>
          <w:rFonts w:eastAsia="Calibri" w:cs="Times New Roman" w:ascii="Times New Roman" w:hAnsi="Times New Roman"/>
          <w:bCs/>
          <w:lang w:val="hr-HR"/>
        </w:rPr>
        <w:t xml:space="preserve">Radovi na sustavu javne rasvjete izvode se da bi sustav bio u potpunoj funkcionalnosti. Ovdje spada redovno i investicijsko održavanje. U redovito održavanje javne rasvjete spadaju periodički pregledi ispravnosti sustava na području općine, zamjena dotrajalih i nefunkcionalnih (neispravnih) rasvjetnih tijela, zamjena ili obnova dotrajalih stupova javne rasvjete, zamjena kablova i druge pripadajuće opreme, proširenje javne rasvjete i intervencijski zahvati. Redovno održavanje se obavlja kroz cijelu godinu prema potrebi. Hitne intervencije vrše se nakon raznih devastacija na rasvjetnim tijelima (nakon prometnih nezgoda, poslije nevremena zbog dotrajalosti stupova, udara groma ili kvarova na kablovima). </w:t>
      </w:r>
    </w:p>
    <w:p>
      <w:pPr>
        <w:pStyle w:val="Normal"/>
        <w:jc w:val="both"/>
        <w:rPr>
          <w:rFonts w:ascii="Times New Roman" w:hAnsi="Times New Roman"/>
          <w:lang w:val="hr-HR"/>
        </w:rPr>
      </w:pPr>
      <w:r>
        <w:rPr>
          <w:rFonts w:eastAsia="Calibri" w:cs="Times New Roman" w:ascii="Times New Roman" w:hAnsi="Times New Roman"/>
          <w:b w:val="false"/>
          <w:bCs/>
          <w:lang w:val="hr-HR"/>
        </w:rPr>
        <w:t>Potrošnja javne rasvjete podrazumijeva podmirivanje troškova za utrošak električne energije za javnu rasvjetu, a temeljem Ugovora o opskrbi električnom energijom povlaštenog kupca.“</w:t>
      </w:r>
    </w:p>
    <w:p>
      <w:pPr>
        <w:pStyle w:val="Normal"/>
        <w:jc w:val="both"/>
        <w:rPr>
          <w:rFonts w:ascii="Times New Roman" w:hAnsi="Times New Roman"/>
          <w:lang w:val="hr-HR"/>
        </w:rPr>
      </w:pPr>
      <w:r>
        <w:rPr>
          <w:rFonts w:eastAsia="Calibri" w:cs="Times New Roman" w:ascii="Times New Roman" w:hAnsi="Times New Roman"/>
          <w:lang w:val="hr-HR"/>
        </w:rPr>
        <w:tab/>
        <w:t xml:space="preserve">Ovim Programom određuje se održavanje komunalne infrastrukture na području Općine Negoslavci za 2026. godinu, financijska sredstva potrebna za ostvarivanje ovog Programa i izvori financiranja po djelatnostima.  </w:t>
      </w:r>
    </w:p>
    <w:p>
      <w:pPr>
        <w:pStyle w:val="Normal"/>
        <w:ind w:left="720" w:hanging="0"/>
        <w:rPr>
          <w:rFonts w:ascii="Times New Roman" w:hAnsi="Times New Roman" w:eastAsia="Calibri" w:cs="Times New Roman"/>
          <w:lang w:val="hr-HR"/>
        </w:rPr>
      </w:pPr>
      <w:r>
        <w:rPr>
          <w:rFonts w:eastAsia="Calibri" w:cs="Times New Roman" w:ascii="Times New Roman" w:hAnsi="Times New Roman"/>
          <w:lang w:val="hr-HR"/>
        </w:rPr>
      </w:r>
    </w:p>
    <w:p>
      <w:pPr>
        <w:pStyle w:val="Normal"/>
        <w:jc w:val="center"/>
        <w:rPr>
          <w:rFonts w:ascii="Times New Roman" w:hAnsi="Times New Roman"/>
          <w:lang w:val="hr-HR"/>
        </w:rPr>
      </w:pPr>
      <w:r>
        <w:rPr>
          <w:rFonts w:eastAsia="Calibri" w:cs="Times New Roman" w:ascii="Times New Roman" w:hAnsi="Times New Roman"/>
          <w:b/>
          <w:lang w:val="hr-HR"/>
        </w:rPr>
        <w:t>Članak 2.</w:t>
      </w:r>
    </w:p>
    <w:p>
      <w:pPr>
        <w:pStyle w:val="Normal"/>
        <w:jc w:val="left"/>
        <w:rPr/>
      </w:pPr>
      <w:r>
        <w:rPr/>
        <w:tab/>
        <w:t>Mijenja se članak 3. Programa i glasi:</w:t>
      </w:r>
    </w:p>
    <w:p>
      <w:pPr>
        <w:pStyle w:val="Normal"/>
        <w:jc w:val="both"/>
        <w:rPr>
          <w:rFonts w:ascii="Times New Roman" w:hAnsi="Times New Roman"/>
          <w:lang w:val="hr-HR"/>
        </w:rPr>
      </w:pPr>
      <w:r>
        <w:rPr>
          <w:rFonts w:eastAsia="Calibri" w:cs="Times New Roman" w:ascii="Times New Roman" w:hAnsi="Times New Roman"/>
          <w:lang w:val="hr-HR"/>
        </w:rPr>
        <w:tab/>
        <w:t>„</w:t>
      </w:r>
      <w:r>
        <w:rPr>
          <w:rFonts w:eastAsia="Calibri" w:cs="Times New Roman" w:ascii="Times New Roman" w:hAnsi="Times New Roman"/>
          <w:color w:val="000000"/>
          <w:lang w:val="hr-HR"/>
        </w:rPr>
        <w:t>Financijska sredstva za održavanje komunalne infrastrukture iz članka 2. u ukupnom iznosu od 76.640,00 EUR osigurat će se i</w:t>
      </w:r>
      <w:r>
        <w:rPr>
          <w:rFonts w:eastAsia="Calibri" w:cs="Times New Roman" w:ascii="Times New Roman" w:hAnsi="Times New Roman"/>
          <w:lang w:val="hr-HR"/>
        </w:rPr>
        <w:t>z sljedećih izvora.</w:t>
      </w:r>
    </w:p>
    <w:tbl>
      <w:tblPr>
        <w:tblW w:w="9350"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3260"/>
        <w:gridCol w:w="2464"/>
        <w:gridCol w:w="3626"/>
      </w:tblGrid>
      <w:tr>
        <w:trPr/>
        <w:tc>
          <w:tcPr>
            <w:tcW w:w="326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eastAsia="Calibri" w:cs="Times New Roman" w:ascii="Times New Roman" w:hAnsi="Times New Roman"/>
                <w:b/>
                <w:kern w:val="0"/>
                <w:lang w:val="hr-HR" w:eastAsia="en-US" w:bidi="ar-SA"/>
              </w:rPr>
              <w:t>Izvršenje</w:t>
            </w:r>
          </w:p>
        </w:tc>
        <w:tc>
          <w:tcPr>
            <w:tcW w:w="2464"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eastAsia="Calibri" w:cs="Times New Roman" w:ascii="Times New Roman" w:hAnsi="Times New Roman"/>
                <w:b/>
                <w:kern w:val="0"/>
                <w:lang w:val="hr-HR" w:eastAsia="en-US" w:bidi="ar-SA"/>
              </w:rPr>
              <w:t>Potrebna sredstva</w:t>
            </w:r>
          </w:p>
        </w:tc>
        <w:tc>
          <w:tcPr>
            <w:tcW w:w="3626"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eastAsia="Calibri" w:cs="Times New Roman" w:ascii="Times New Roman" w:hAnsi="Times New Roman"/>
                <w:b/>
                <w:kern w:val="0"/>
                <w:lang w:val="hr-HR" w:eastAsia="en-US" w:bidi="ar-SA"/>
              </w:rPr>
              <w:t>Izvori financiranja i iznosi</w:t>
            </w:r>
          </w:p>
        </w:tc>
      </w:tr>
      <w:tr>
        <w:trPr>
          <w:trHeight w:val="390" w:hRule="atLeast"/>
        </w:trPr>
        <w:tc>
          <w:tcPr>
            <w:tcW w:w="326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eastAsia="Calibri" w:ascii="Times New Roman" w:hAnsi="Times New Roman"/>
                <w:color w:val="000000"/>
                <w:kern w:val="0"/>
                <w:szCs w:val="22"/>
                <w:lang w:val="hr-HR" w:eastAsia="en-US" w:bidi="ar-SA"/>
              </w:rPr>
              <w:t>Tekuće održavanje nerazvrstanih cesta i čišćenje snijega</w:t>
            </w:r>
          </w:p>
        </w:tc>
        <w:tc>
          <w:tcPr>
            <w:tcW w:w="2464" w:type="dxa"/>
            <w:tcBorders>
              <w:top w:val="single" w:sz="6" w:space="0" w:color="000000"/>
              <w:left w:val="single" w:sz="6" w:space="0" w:color="000000"/>
              <w:bottom w:val="single" w:sz="6" w:space="0" w:color="000000"/>
              <w:right w:val="single" w:sz="6" w:space="0" w:color="000000"/>
            </w:tcBorders>
          </w:tcPr>
          <w:p>
            <w:pPr>
              <w:pStyle w:val="Normal"/>
              <w:widowControl w:val="false"/>
              <w:jc w:val="both"/>
              <w:rPr>
                <w:color w:val="000000"/>
              </w:rPr>
            </w:pPr>
            <w:r>
              <w:rPr>
                <w:rFonts w:eastAsia="Calibri" w:cs="Times New Roman" w:ascii="Times New Roman" w:hAnsi="Times New Roman"/>
                <w:color w:val="000000"/>
              </w:rPr>
              <w:t>5.840,00 EUR</w:t>
            </w:r>
          </w:p>
        </w:tc>
        <w:tc>
          <w:tcPr>
            <w:tcW w:w="362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rPr>
            </w:pPr>
            <w:r>
              <w:rPr>
                <w:rFonts w:eastAsia="Calibri" w:cs="Times New Roman" w:ascii="Times New Roman" w:hAnsi="Times New Roman"/>
                <w:color w:val="000000"/>
                <w:kern w:val="0"/>
                <w:lang w:eastAsia="en-US" w:bidi="ar-SA"/>
              </w:rPr>
              <w:t>Proračun 5.840,00 EUR</w:t>
            </w:r>
          </w:p>
        </w:tc>
      </w:tr>
      <w:tr>
        <w:trPr>
          <w:trHeight w:val="978" w:hRule="atLeast"/>
        </w:trPr>
        <w:tc>
          <w:tcPr>
            <w:tcW w:w="326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ascii="Times New Roman" w:hAnsi="Times New Roman"/>
                <w:color w:val="000000"/>
                <w:lang w:val="hr-HR"/>
              </w:rPr>
              <w:t>Sanacija pješačkih staza</w:t>
            </w:r>
          </w:p>
        </w:tc>
        <w:tc>
          <w:tcPr>
            <w:tcW w:w="2464"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rPr>
            </w:pPr>
            <w:r>
              <w:rPr>
                <w:rFonts w:ascii="Times New Roman" w:hAnsi="Times New Roman"/>
                <w:color w:val="000000"/>
              </w:rPr>
              <w:t>20.000,00 EUR</w:t>
            </w:r>
          </w:p>
        </w:tc>
        <w:tc>
          <w:tcPr>
            <w:tcW w:w="362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rPr>
            </w:pPr>
            <w:r>
              <w:rPr>
                <w:rFonts w:eastAsia="Calibri" w:cs="Times New Roman" w:ascii="Times New Roman" w:hAnsi="Times New Roman"/>
                <w:color w:val="000000"/>
                <w:kern w:val="0"/>
                <w:lang w:eastAsia="en-US" w:bidi="ar-SA"/>
              </w:rPr>
              <w:t>Kapitalne pomoći PORLZ Ministarstvo regionalnog razvoja i fondova EU</w:t>
            </w:r>
            <w:r>
              <w:rPr>
                <w:rFonts w:ascii="Times New Roman" w:hAnsi="Times New Roman"/>
                <w:color w:val="000000"/>
                <w:kern w:val="0"/>
                <w:lang w:eastAsia="en-US" w:bidi="ar-SA"/>
              </w:rPr>
              <w:t xml:space="preserve"> 10.000,00 EUR i Proračun Općine Negoslavci 10.000,00 EUR.</w:t>
            </w:r>
          </w:p>
        </w:tc>
      </w:tr>
      <w:tr>
        <w:trPr>
          <w:trHeight w:val="978" w:hRule="atLeast"/>
        </w:trPr>
        <w:tc>
          <w:tcPr>
            <w:tcW w:w="326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eastAsia="Calibri" w:ascii="Times New Roman" w:hAnsi="Times New Roman"/>
                <w:color w:val="000000"/>
                <w:kern w:val="0"/>
                <w:szCs w:val="22"/>
                <w:lang w:val="hr-HR" w:eastAsia="en-US" w:bidi="ar-SA"/>
              </w:rPr>
              <w:t>Uređenje centra općine-faza II</w:t>
            </w:r>
          </w:p>
        </w:tc>
        <w:tc>
          <w:tcPr>
            <w:tcW w:w="2464" w:type="dxa"/>
            <w:tcBorders>
              <w:top w:val="single" w:sz="6" w:space="0" w:color="000000"/>
              <w:left w:val="single" w:sz="6" w:space="0" w:color="000000"/>
              <w:bottom w:val="single" w:sz="6" w:space="0" w:color="000000"/>
              <w:right w:val="single" w:sz="6" w:space="0" w:color="000000"/>
            </w:tcBorders>
          </w:tcPr>
          <w:p>
            <w:pPr>
              <w:pStyle w:val="Normal"/>
              <w:widowControl w:val="false"/>
              <w:jc w:val="both"/>
              <w:rPr>
                <w:color w:val="000000"/>
              </w:rPr>
            </w:pPr>
            <w:r>
              <w:rPr>
                <w:rFonts w:eastAsia="Calibri" w:cs="Times New Roman" w:ascii="Times New Roman" w:hAnsi="Times New Roman"/>
                <w:color w:val="000000"/>
              </w:rPr>
              <w:t>10.000,00 EUR</w:t>
            </w:r>
          </w:p>
        </w:tc>
        <w:tc>
          <w:tcPr>
            <w:tcW w:w="362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rPr>
            </w:pPr>
            <w:r>
              <w:rPr>
                <w:rFonts w:eastAsia="Calibri" w:cs="Times New Roman" w:ascii="Times New Roman" w:hAnsi="Times New Roman"/>
                <w:color w:val="000000"/>
                <w:kern w:val="0"/>
                <w:lang w:val="hr-HR" w:eastAsia="en-US" w:bidi="ar-SA"/>
              </w:rPr>
              <w:t>Ministarstvo regionalnog razvoja i fondova EU PPNM 10.000,00 EUR</w:t>
            </w:r>
          </w:p>
        </w:tc>
      </w:tr>
      <w:tr>
        <w:trPr>
          <w:trHeight w:val="408" w:hRule="atLeast"/>
        </w:trPr>
        <w:tc>
          <w:tcPr>
            <w:tcW w:w="326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eastAsia="Calibri" w:ascii="Times New Roman" w:hAnsi="Times New Roman"/>
                <w:color w:val="000000"/>
                <w:kern w:val="0"/>
                <w:szCs w:val="22"/>
                <w:lang w:val="hr-HR" w:eastAsia="en-US" w:bidi="ar-SA"/>
              </w:rPr>
              <w:t>Održavanje javnih površina</w:t>
            </w:r>
          </w:p>
        </w:tc>
        <w:tc>
          <w:tcPr>
            <w:tcW w:w="2464" w:type="dxa"/>
            <w:tcBorders>
              <w:top w:val="single" w:sz="6" w:space="0" w:color="000000"/>
              <w:left w:val="single" w:sz="6" w:space="0" w:color="000000"/>
              <w:bottom w:val="single" w:sz="6" w:space="0" w:color="000000"/>
              <w:right w:val="single" w:sz="6" w:space="0" w:color="000000"/>
            </w:tcBorders>
          </w:tcPr>
          <w:p>
            <w:pPr>
              <w:pStyle w:val="Normal"/>
              <w:widowControl w:val="false"/>
              <w:jc w:val="both"/>
              <w:rPr>
                <w:color w:val="000000"/>
              </w:rPr>
            </w:pPr>
            <w:r>
              <w:rPr>
                <w:rFonts w:eastAsia="Calibri" w:cs="Times New Roman" w:ascii="Times New Roman" w:hAnsi="Times New Roman"/>
                <w:color w:val="000000"/>
              </w:rPr>
              <w:t>10.000,00 EUR</w:t>
            </w:r>
          </w:p>
        </w:tc>
        <w:tc>
          <w:tcPr>
            <w:tcW w:w="362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rPr>
            </w:pPr>
            <w:r>
              <w:rPr>
                <w:rFonts w:eastAsia="Calibri" w:cs="Times New Roman" w:ascii="Times New Roman" w:hAnsi="Times New Roman"/>
                <w:color w:val="000000"/>
                <w:kern w:val="0"/>
                <w:lang w:eastAsia="en-US" w:bidi="ar-SA"/>
              </w:rPr>
              <w:t>Proračun  10,000,00 EUR</w:t>
            </w:r>
          </w:p>
        </w:tc>
      </w:tr>
      <w:tr>
        <w:trPr>
          <w:trHeight w:val="408" w:hRule="atLeast"/>
        </w:trPr>
        <w:tc>
          <w:tcPr>
            <w:tcW w:w="3260" w:type="dxa"/>
            <w:tcBorders>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eastAsia="Calibri" w:ascii="Times New Roman" w:hAnsi="Times New Roman"/>
                <w:color w:val="000000"/>
                <w:kern w:val="0"/>
                <w:szCs w:val="22"/>
                <w:lang w:val="hr-HR" w:eastAsia="en-US" w:bidi="ar-SA"/>
              </w:rPr>
              <w:t>Održavanje građevina, uređaja i predmeta javne namjene</w:t>
            </w:r>
          </w:p>
        </w:tc>
        <w:tc>
          <w:tcPr>
            <w:tcW w:w="2464" w:type="dxa"/>
            <w:tcBorders>
              <w:left w:val="single" w:sz="6" w:space="0" w:color="000000"/>
              <w:bottom w:val="single" w:sz="6" w:space="0" w:color="000000"/>
              <w:right w:val="single" w:sz="6" w:space="0" w:color="000000"/>
            </w:tcBorders>
          </w:tcPr>
          <w:p>
            <w:pPr>
              <w:pStyle w:val="Normal"/>
              <w:widowControl w:val="false"/>
              <w:jc w:val="both"/>
              <w:rPr>
                <w:color w:val="000000"/>
              </w:rPr>
            </w:pPr>
            <w:r>
              <w:rPr>
                <w:rFonts w:ascii="Times New Roman" w:hAnsi="Times New Roman"/>
                <w:color w:val="000000"/>
              </w:rPr>
              <w:t>8.000,00 EUR</w:t>
            </w:r>
          </w:p>
        </w:tc>
        <w:tc>
          <w:tcPr>
            <w:tcW w:w="3626" w:type="dxa"/>
            <w:tcBorders>
              <w:left w:val="single" w:sz="6" w:space="0" w:color="000000"/>
              <w:bottom w:val="single" w:sz="6" w:space="0" w:color="000000"/>
              <w:right w:val="single" w:sz="6" w:space="0" w:color="000000"/>
            </w:tcBorders>
          </w:tcPr>
          <w:p>
            <w:pPr>
              <w:pStyle w:val="Normal"/>
              <w:widowControl w:val="false"/>
              <w:rPr>
                <w:color w:val="000000"/>
              </w:rPr>
            </w:pPr>
            <w:r>
              <w:rPr>
                <w:rFonts w:ascii="Times New Roman" w:hAnsi="Times New Roman"/>
                <w:color w:val="000000"/>
                <w:kern w:val="0"/>
                <w:lang w:eastAsia="en-US" w:bidi="ar-SA"/>
              </w:rPr>
              <w:t>Proračun  8.000,00 EUR</w:t>
            </w:r>
          </w:p>
        </w:tc>
      </w:tr>
      <w:tr>
        <w:trPr/>
        <w:tc>
          <w:tcPr>
            <w:tcW w:w="326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ascii="Times New Roman" w:hAnsi="Times New Roman"/>
                <w:color w:val="000000"/>
                <w:kern w:val="0"/>
                <w:szCs w:val="22"/>
                <w:lang w:val="hr-HR" w:eastAsia="en-US" w:bidi="ar-SA"/>
              </w:rPr>
              <w:t>Održavanje javne rasvjete</w:t>
            </w:r>
          </w:p>
        </w:tc>
        <w:tc>
          <w:tcPr>
            <w:tcW w:w="2464" w:type="dxa"/>
            <w:tcBorders>
              <w:top w:val="single" w:sz="6" w:space="0" w:color="000000"/>
              <w:left w:val="single" w:sz="6" w:space="0" w:color="000000"/>
              <w:bottom w:val="single" w:sz="6" w:space="0" w:color="000000"/>
              <w:right w:val="single" w:sz="6" w:space="0" w:color="000000"/>
            </w:tcBorders>
          </w:tcPr>
          <w:p>
            <w:pPr>
              <w:pStyle w:val="Normal"/>
              <w:widowControl w:val="false"/>
              <w:jc w:val="both"/>
              <w:rPr>
                <w:color w:val="000000"/>
              </w:rPr>
            </w:pPr>
            <w:r>
              <w:rPr>
                <w:rFonts w:eastAsia="Calibri" w:cs="Times New Roman" w:ascii="Times New Roman" w:hAnsi="Times New Roman"/>
                <w:bCs/>
                <w:color w:val="000000"/>
              </w:rPr>
              <w:t>16.500,00 EUR</w:t>
            </w:r>
          </w:p>
        </w:tc>
        <w:tc>
          <w:tcPr>
            <w:tcW w:w="362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rPr>
            </w:pPr>
            <w:r>
              <w:rPr>
                <w:rFonts w:eastAsia="Calibri" w:cs="Times New Roman" w:ascii="Times New Roman" w:hAnsi="Times New Roman"/>
                <w:color w:val="000000"/>
                <w:kern w:val="0"/>
                <w:lang w:eastAsia="en-US" w:bidi="ar-SA"/>
              </w:rPr>
              <w:t>Proračun</w:t>
            </w:r>
            <w:r>
              <w:rPr>
                <w:rFonts w:eastAsia="Calibri" w:cs="Times New Roman" w:ascii="Times New Roman" w:hAnsi="Times New Roman"/>
                <w:bCs/>
                <w:color w:val="000000"/>
                <w:kern w:val="0"/>
                <w:lang w:eastAsia="en-US" w:bidi="ar-SA"/>
              </w:rPr>
              <w:t xml:space="preserve"> 16.500,00 EUR</w:t>
            </w:r>
          </w:p>
        </w:tc>
      </w:tr>
      <w:tr>
        <w:trPr/>
        <w:tc>
          <w:tcPr>
            <w:tcW w:w="326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lang w:val="hr-HR"/>
              </w:rPr>
            </w:pPr>
            <w:r>
              <w:rPr>
                <w:rFonts w:eastAsia="Calibri" w:cs="Times New Roman" w:ascii="Times New Roman" w:hAnsi="Times New Roman"/>
                <w:b/>
                <w:color w:val="000000"/>
                <w:kern w:val="0"/>
                <w:lang w:val="hr-HR" w:eastAsia="en-US" w:bidi="ar-SA"/>
              </w:rPr>
              <w:t>UKUPNO</w:t>
            </w:r>
          </w:p>
        </w:tc>
        <w:tc>
          <w:tcPr>
            <w:tcW w:w="2464" w:type="dxa"/>
            <w:tcBorders>
              <w:top w:val="single" w:sz="6" w:space="0" w:color="000000"/>
              <w:left w:val="single" w:sz="6" w:space="0" w:color="000000"/>
              <w:bottom w:val="single" w:sz="6" w:space="0" w:color="000000"/>
              <w:right w:val="single" w:sz="6" w:space="0" w:color="000000"/>
            </w:tcBorders>
          </w:tcPr>
          <w:p>
            <w:pPr>
              <w:pStyle w:val="Normal"/>
              <w:widowControl w:val="false"/>
              <w:jc w:val="both"/>
              <w:rPr>
                <w:color w:val="000000"/>
              </w:rPr>
            </w:pPr>
            <w:r>
              <w:rPr>
                <w:rFonts w:eastAsia="Calibri" w:cs="Times New Roman" w:ascii="Times New Roman" w:hAnsi="Times New Roman"/>
                <w:color w:val="000000"/>
              </w:rPr>
              <w:t>76.640,00 EUR</w:t>
            </w:r>
          </w:p>
        </w:tc>
        <w:tc>
          <w:tcPr>
            <w:tcW w:w="362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rPr>
            </w:pPr>
            <w:r>
              <w:rPr>
                <w:rFonts w:eastAsia="Calibri" w:cs="Times New Roman" w:ascii="Times New Roman" w:hAnsi="Times New Roman"/>
                <w:color w:val="000000"/>
              </w:rPr>
              <w:t>84.640,00 EUR</w:t>
            </w:r>
          </w:p>
        </w:tc>
      </w:tr>
    </w:tbl>
    <w:p>
      <w:pPr>
        <w:pStyle w:val="Normal"/>
        <w:rPr>
          <w:rFonts w:ascii="Times New Roman" w:hAnsi="Times New Roman" w:eastAsia="Calibri" w:cs="Times New Roman"/>
          <w:lang w:val="hr-HR"/>
        </w:rPr>
      </w:pPr>
      <w:r>
        <w:rPr>
          <w:rFonts w:eastAsia="Calibri" w:cs="Times New Roman" w:ascii="Times New Roman" w:hAnsi="Times New Roman"/>
          <w:lang w:val="hr-HR"/>
        </w:rPr>
      </w:r>
    </w:p>
    <w:p>
      <w:pPr>
        <w:pStyle w:val="Normal"/>
        <w:jc w:val="center"/>
        <w:rPr>
          <w:rFonts w:ascii="Times New Roman" w:hAnsi="Times New Roman"/>
          <w:lang w:val="hr-HR"/>
        </w:rPr>
      </w:pPr>
      <w:r>
        <w:rPr>
          <w:rFonts w:eastAsia="Calibri" w:cs="Times New Roman" w:ascii="Times New Roman" w:hAnsi="Times New Roman"/>
          <w:b/>
          <w:lang w:val="hr-HR"/>
        </w:rPr>
        <w:t>Članak 3.</w:t>
      </w:r>
    </w:p>
    <w:p>
      <w:pPr>
        <w:pStyle w:val="Normal"/>
        <w:jc w:val="left"/>
        <w:rPr/>
      </w:pPr>
      <w:r>
        <w:rPr/>
        <w:tab/>
        <w:t>Ostale odredbe Programa se ne mijenjaju, niti se dopunjuju.</w:t>
      </w:r>
    </w:p>
    <w:p>
      <w:pPr>
        <w:pStyle w:val="Normal"/>
        <w:rPr>
          <w:rFonts w:ascii="Times New Roman" w:hAnsi="Times New Roman" w:eastAsia="Calibri" w:cs="Times New Roman"/>
          <w:b/>
          <w:b/>
          <w:lang w:val="hr-HR"/>
        </w:rPr>
      </w:pPr>
      <w:r>
        <w:rPr>
          <w:rFonts w:eastAsia="Calibri" w:cs="Times New Roman" w:ascii="Times New Roman" w:hAnsi="Times New Roman"/>
          <w:b/>
          <w:lang w:val="hr-HR"/>
        </w:rPr>
      </w:r>
    </w:p>
    <w:p>
      <w:pPr>
        <w:pStyle w:val="Normal"/>
        <w:jc w:val="center"/>
        <w:rPr>
          <w:rFonts w:ascii="Times New Roman" w:hAnsi="Times New Roman"/>
          <w:lang w:val="hr-HR"/>
        </w:rPr>
      </w:pPr>
      <w:r>
        <w:rPr>
          <w:rFonts w:eastAsia="Calibri" w:cs="Times New Roman" w:ascii="Times New Roman" w:hAnsi="Times New Roman"/>
          <w:b/>
          <w:lang w:val="hr-HR"/>
        </w:rPr>
        <w:t>Članak 4.</w:t>
      </w:r>
    </w:p>
    <w:p>
      <w:pPr>
        <w:pStyle w:val="Normal"/>
        <w:jc w:val="both"/>
        <w:rPr>
          <w:rFonts w:ascii="Times New Roman" w:hAnsi="Times New Roman"/>
          <w:lang w:val="hr-HR"/>
        </w:rPr>
      </w:pPr>
      <w:r>
        <w:rPr>
          <w:rFonts w:eastAsia="Calibri" w:cs="Times New Roman" w:ascii="Times New Roman" w:hAnsi="Times New Roman"/>
          <w:lang w:val="hr-HR"/>
        </w:rPr>
        <w:tab/>
        <w:t>Ovaj Izmje</w:t>
      </w:r>
      <w:r>
        <w:rPr>
          <w:rFonts w:eastAsia="Calibri" w:cs="Times New Roman" w:ascii="Times New Roman" w:hAnsi="Times New Roman"/>
          <w:color w:val="000000"/>
          <w:lang w:val="hr-HR"/>
        </w:rPr>
        <w:t>ne i dopune Programa stupaju na snagu dan nakon dana objave u Službenom glasniku Općine Negoslavci.</w:t>
      </w:r>
    </w:p>
    <w:p>
      <w:pPr>
        <w:pStyle w:val="Normal"/>
        <w:jc w:val="both"/>
        <w:rPr>
          <w:rFonts w:ascii="Times New Roman" w:hAnsi="Times New Roman"/>
          <w:lang w:val="hr-HR"/>
        </w:rPr>
      </w:pPr>
      <w:r>
        <w:rPr/>
      </w:r>
    </w:p>
    <w:p>
      <w:pPr>
        <w:pStyle w:val="Normal"/>
        <w:jc w:val="both"/>
        <w:rPr>
          <w:b w:val="false"/>
          <w:b w:val="false"/>
          <w:bCs w:val="false"/>
        </w:rPr>
      </w:pPr>
      <w:r>
        <w:rPr>
          <w:rFonts w:eastAsia="Calibri" w:cs="Times New Roman" w:ascii="Times New Roman" w:hAnsi="Times New Roman"/>
          <w:b w:val="false"/>
          <w:bCs w:val="false"/>
          <w:color w:val="000000"/>
          <w:lang w:val="hr-HR"/>
        </w:rPr>
        <w:t>KLASA: 400-02/25-01/01</w:t>
      </w:r>
    </w:p>
    <w:p>
      <w:pPr>
        <w:pStyle w:val="Normal"/>
        <w:jc w:val="both"/>
        <w:rPr>
          <w:b w:val="false"/>
          <w:b w:val="false"/>
          <w:bCs w:val="false"/>
        </w:rPr>
      </w:pPr>
      <w:r>
        <w:rPr>
          <w:rFonts w:eastAsia="Calibri" w:cs="Times New Roman" w:ascii="Times New Roman" w:hAnsi="Times New Roman"/>
          <w:b w:val="false"/>
          <w:bCs w:val="false"/>
          <w:color w:val="000000"/>
          <w:lang w:val="hr-HR"/>
        </w:rPr>
        <w:t>URBROJ: 2196-19-02-26-26</w:t>
      </w:r>
    </w:p>
    <w:p>
      <w:pPr>
        <w:pStyle w:val="Normal"/>
        <w:jc w:val="both"/>
        <w:rPr>
          <w:b w:val="false"/>
          <w:b w:val="false"/>
          <w:bCs w:val="false"/>
        </w:rPr>
      </w:pPr>
      <w:r>
        <w:rPr>
          <w:rFonts w:eastAsia="Calibri" w:cs="Times New Roman" w:ascii="Times New Roman" w:hAnsi="Times New Roman"/>
          <w:b w:val="false"/>
          <w:bCs w:val="false"/>
          <w:color w:val="000000"/>
          <w:lang w:val="hr-HR"/>
        </w:rPr>
        <w:t xml:space="preserve">Negoslavci, 25. lipnja 2026. </w:t>
      </w:r>
    </w:p>
    <w:p>
      <w:pPr>
        <w:pStyle w:val="Normal"/>
        <w:jc w:val="right"/>
        <w:rPr>
          <w:rFonts w:ascii="Times New Roman" w:hAnsi="Times New Roman" w:eastAsia="Calibri" w:cs="Times New Roman"/>
          <w:b/>
          <w:b/>
          <w:lang w:val="hr-HR"/>
        </w:rPr>
      </w:pPr>
      <w:r>
        <w:rPr>
          <w:rFonts w:eastAsia="Calibri" w:cs="Times New Roman" w:ascii="Times New Roman" w:hAnsi="Times New Roman"/>
          <w:b/>
          <w:lang w:val="hr-HR"/>
        </w:rPr>
      </w:r>
    </w:p>
    <w:p>
      <w:pPr>
        <w:pStyle w:val="Normal"/>
        <w:jc w:val="center"/>
        <w:rPr/>
      </w:pPr>
      <w:r>
        <w:rPr>
          <w:rFonts w:eastAsia="Calibri" w:cs="Times New Roman" w:ascii="Times New Roman" w:hAnsi="Times New Roman"/>
          <w:b/>
          <w:lang w:val="hr-HR"/>
        </w:rPr>
        <w:t>PREDSJEDNIK OPĆINSKOG VIJEĆA:</w:t>
      </w:r>
    </w:p>
    <w:p>
      <w:pPr>
        <w:pStyle w:val="Normal"/>
        <w:jc w:val="center"/>
        <w:rPr/>
      </w:pPr>
      <w:r>
        <w:rPr>
          <w:rFonts w:eastAsia="Calibri" w:cs="Times New Roman" w:ascii="Times New Roman" w:hAnsi="Times New Roman"/>
          <w:sz w:val="24"/>
          <w:szCs w:val="24"/>
          <w:lang w:val="hr-HR"/>
        </w:rPr>
        <w:t>Miodrag Mišanović</w:t>
      </w:r>
    </w:p>
    <w:p>
      <w:pPr>
        <w:pStyle w:val="Normal"/>
        <w:jc w:val="center"/>
        <w:rPr/>
      </w:pPr>
      <w:r>
        <w:rPr/>
        <w:drawing>
          <wp:inline distT="0" distB="0" distL="0" distR="0">
            <wp:extent cx="5761355" cy="36830"/>
            <wp:effectExtent l="0" t="0" r="0" b="0"/>
            <wp:docPr id="6" name="Slika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9" descr=""/>
                    <pic:cNvPicPr>
                      <a:picLocks noChangeAspect="1" noChangeArrowheads="1"/>
                    </pic:cNvPicPr>
                  </pic:nvPicPr>
                  <pic:blipFill>
                    <a:blip r:embed="rId12"/>
                    <a:stretch>
                      <a:fillRect/>
                    </a:stretch>
                  </pic:blipFill>
                  <pic:spPr bwMode="auto">
                    <a:xfrm>
                      <a:off x="0" y="0"/>
                      <a:ext cx="5761355" cy="36830"/>
                    </a:xfrm>
                    <a:prstGeom prst="rect">
                      <a:avLst/>
                    </a:prstGeom>
                  </pic:spPr>
                </pic:pic>
              </a:graphicData>
            </a:graphic>
          </wp:inline>
        </w:drawing>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bidi w:val="0"/>
        <w:ind w:hanging="0"/>
        <w:jc w:val="both"/>
        <w:rPr/>
      </w:pPr>
      <w:r>
        <w:rPr>
          <w:rFonts w:eastAsia="Calibri" w:cs="Times New Roman" w:ascii="Times New Roman" w:hAnsi="Times New Roman"/>
          <w:color w:val="000000"/>
          <w:szCs w:val="24"/>
          <w:lang w:val="hr-HR"/>
        </w:rPr>
        <w:tab/>
      </w:r>
      <w:r>
        <w:rPr>
          <w:rFonts w:eastAsia="Calibri" w:cs="Times New Roman" w:ascii="Times New Roman" w:hAnsi="Times New Roman"/>
          <w:szCs w:val="24"/>
          <w:lang w:val="hr-HR"/>
        </w:rPr>
        <w:t xml:space="preserve">Na temelju članka 48 i 49 Zakona o predškolskom odgoju i obrazovanju („Narodne novine“ broj </w:t>
      </w:r>
      <w:hyperlink r:id="rId13">
        <w:r>
          <w:rPr>
            <w:rFonts w:eastAsia="Calibri" w:cs="Times New Roman" w:ascii="Times New Roman" w:hAnsi="Times New Roman"/>
            <w:szCs w:val="24"/>
            <w:lang w:val="hr-HR"/>
          </w:rPr>
          <w:t>10/97</w:t>
        </w:r>
      </w:hyperlink>
      <w:r>
        <w:rPr>
          <w:rFonts w:eastAsia="Calibri" w:cs="Times New Roman" w:ascii="Times New Roman" w:hAnsi="Times New Roman"/>
          <w:szCs w:val="24"/>
          <w:lang w:val="hr-HR"/>
        </w:rPr>
        <w:t xml:space="preserve">, </w:t>
      </w:r>
      <w:hyperlink r:id="rId14">
        <w:r>
          <w:rPr>
            <w:rFonts w:eastAsia="Calibri" w:cs="Times New Roman" w:ascii="Times New Roman" w:hAnsi="Times New Roman"/>
            <w:szCs w:val="24"/>
            <w:lang w:val="hr-HR"/>
          </w:rPr>
          <w:t>107/07</w:t>
        </w:r>
      </w:hyperlink>
      <w:r>
        <w:rPr>
          <w:rFonts w:eastAsia="Calibri" w:cs="Times New Roman" w:ascii="Times New Roman" w:hAnsi="Times New Roman"/>
          <w:szCs w:val="24"/>
          <w:lang w:val="hr-HR"/>
        </w:rPr>
        <w:t xml:space="preserve">, </w:t>
      </w:r>
      <w:hyperlink r:id="rId15">
        <w:r>
          <w:rPr>
            <w:rFonts w:eastAsia="Calibri" w:cs="Times New Roman" w:ascii="Times New Roman" w:hAnsi="Times New Roman"/>
            <w:szCs w:val="24"/>
            <w:lang w:val="hr-HR"/>
          </w:rPr>
          <w:t>94/13</w:t>
        </w:r>
      </w:hyperlink>
      <w:r>
        <w:rPr>
          <w:rFonts w:eastAsia="Calibri" w:cs="Times New Roman" w:ascii="Times New Roman" w:hAnsi="Times New Roman"/>
          <w:szCs w:val="24"/>
          <w:lang w:val="hr-HR"/>
        </w:rPr>
        <w:t xml:space="preserve">, </w:t>
      </w:r>
      <w:hyperlink r:id="rId16">
        <w:r>
          <w:rPr>
            <w:rFonts w:eastAsia="Calibri" w:cs="Times New Roman" w:ascii="Times New Roman" w:hAnsi="Times New Roman"/>
            <w:szCs w:val="24"/>
            <w:lang w:val="hr-HR"/>
          </w:rPr>
          <w:t>98/19</w:t>
        </w:r>
      </w:hyperlink>
      <w:r>
        <w:rPr>
          <w:rFonts w:eastAsia="Calibri" w:cs="Times New Roman" w:ascii="Times New Roman" w:hAnsi="Times New Roman"/>
          <w:szCs w:val="24"/>
          <w:lang w:val="hr-HR"/>
        </w:rPr>
        <w:t xml:space="preserve">, 57/22, 101/23, 145/23, 145/24, 146/25 i 22/26), u svezi sa člankom 143. Zakona o odgoju i obrazovanju u osnovnoj i srednjoj školi („Narodne novine“ broj </w:t>
      </w:r>
      <w:hyperlink r:id="rId17">
        <w:r>
          <w:rPr>
            <w:rFonts w:eastAsia="Calibri" w:cs="Times New Roman" w:ascii="Times New Roman" w:hAnsi="Times New Roman"/>
            <w:szCs w:val="24"/>
            <w:lang w:val="hr-HR"/>
          </w:rPr>
          <w:t>87/08</w:t>
        </w:r>
      </w:hyperlink>
      <w:r>
        <w:rPr>
          <w:rFonts w:eastAsia="Calibri" w:cs="Times New Roman" w:ascii="Times New Roman" w:hAnsi="Times New Roman"/>
          <w:szCs w:val="24"/>
          <w:lang w:val="hr-HR"/>
        </w:rPr>
        <w:t xml:space="preserve">, </w:t>
      </w:r>
      <w:hyperlink r:id="rId18">
        <w:r>
          <w:rPr>
            <w:rFonts w:eastAsia="Calibri" w:cs="Times New Roman" w:ascii="Times New Roman" w:hAnsi="Times New Roman"/>
            <w:szCs w:val="24"/>
            <w:lang w:val="hr-HR"/>
          </w:rPr>
          <w:t>86/09</w:t>
        </w:r>
      </w:hyperlink>
      <w:r>
        <w:rPr>
          <w:rFonts w:eastAsia="Calibri" w:cs="Times New Roman" w:ascii="Times New Roman" w:hAnsi="Times New Roman"/>
          <w:szCs w:val="24"/>
          <w:lang w:val="hr-HR"/>
        </w:rPr>
        <w:t xml:space="preserve">, </w:t>
      </w:r>
      <w:hyperlink r:id="rId19">
        <w:r>
          <w:rPr>
            <w:rFonts w:eastAsia="Calibri" w:cs="Times New Roman" w:ascii="Times New Roman" w:hAnsi="Times New Roman"/>
            <w:szCs w:val="24"/>
            <w:lang w:val="hr-HR"/>
          </w:rPr>
          <w:t>92/10</w:t>
        </w:r>
      </w:hyperlink>
      <w:r>
        <w:rPr>
          <w:rFonts w:eastAsia="Calibri" w:cs="Times New Roman" w:ascii="Times New Roman" w:hAnsi="Times New Roman"/>
          <w:szCs w:val="24"/>
          <w:lang w:val="hr-HR"/>
        </w:rPr>
        <w:t xml:space="preserve">, </w:t>
      </w:r>
      <w:hyperlink r:id="rId20">
        <w:r>
          <w:rPr>
            <w:rFonts w:eastAsia="Calibri" w:cs="Times New Roman" w:ascii="Times New Roman" w:hAnsi="Times New Roman"/>
            <w:szCs w:val="24"/>
            <w:lang w:val="hr-HR"/>
          </w:rPr>
          <w:t>105/10</w:t>
        </w:r>
      </w:hyperlink>
      <w:r>
        <w:rPr>
          <w:rFonts w:eastAsia="Calibri" w:cs="Times New Roman" w:ascii="Times New Roman" w:hAnsi="Times New Roman"/>
          <w:szCs w:val="24"/>
          <w:lang w:val="hr-HR"/>
        </w:rPr>
        <w:t xml:space="preserve">, </w:t>
      </w:r>
      <w:hyperlink r:id="rId21">
        <w:r>
          <w:rPr>
            <w:rFonts w:eastAsia="Calibri" w:cs="Times New Roman" w:ascii="Times New Roman" w:hAnsi="Times New Roman"/>
            <w:szCs w:val="24"/>
            <w:lang w:val="hr-HR"/>
          </w:rPr>
          <w:t>90/11</w:t>
        </w:r>
      </w:hyperlink>
      <w:r>
        <w:rPr>
          <w:rFonts w:eastAsia="Calibri" w:cs="Times New Roman" w:ascii="Times New Roman" w:hAnsi="Times New Roman"/>
          <w:szCs w:val="24"/>
          <w:lang w:val="hr-HR"/>
        </w:rPr>
        <w:t xml:space="preserve">, </w:t>
      </w:r>
      <w:hyperlink r:id="rId22">
        <w:r>
          <w:rPr>
            <w:rFonts w:eastAsia="Calibri" w:cs="Times New Roman" w:ascii="Times New Roman" w:hAnsi="Times New Roman"/>
            <w:szCs w:val="24"/>
            <w:lang w:val="hr-HR"/>
          </w:rPr>
          <w:t>5/12</w:t>
        </w:r>
      </w:hyperlink>
      <w:r>
        <w:rPr>
          <w:rFonts w:eastAsia="Calibri" w:cs="Times New Roman" w:ascii="Times New Roman" w:hAnsi="Times New Roman"/>
          <w:szCs w:val="24"/>
          <w:lang w:val="hr-HR"/>
        </w:rPr>
        <w:t xml:space="preserve">, </w:t>
      </w:r>
      <w:hyperlink r:id="rId23">
        <w:r>
          <w:rPr>
            <w:rFonts w:eastAsia="Calibri" w:cs="Times New Roman" w:ascii="Times New Roman" w:hAnsi="Times New Roman"/>
            <w:szCs w:val="24"/>
            <w:lang w:val="hr-HR"/>
          </w:rPr>
          <w:t>16/12</w:t>
        </w:r>
      </w:hyperlink>
      <w:r>
        <w:rPr>
          <w:rFonts w:eastAsia="Calibri" w:cs="Times New Roman" w:ascii="Times New Roman" w:hAnsi="Times New Roman"/>
          <w:szCs w:val="24"/>
          <w:lang w:val="hr-HR"/>
        </w:rPr>
        <w:t xml:space="preserve">, </w:t>
      </w:r>
      <w:hyperlink r:id="rId24">
        <w:r>
          <w:rPr>
            <w:rFonts w:eastAsia="Calibri" w:cs="Times New Roman" w:ascii="Times New Roman" w:hAnsi="Times New Roman"/>
            <w:szCs w:val="24"/>
            <w:lang w:val="hr-HR"/>
          </w:rPr>
          <w:t>86/12</w:t>
        </w:r>
      </w:hyperlink>
      <w:r>
        <w:rPr>
          <w:rFonts w:eastAsia="Calibri" w:cs="Times New Roman" w:ascii="Times New Roman" w:hAnsi="Times New Roman"/>
          <w:szCs w:val="24"/>
          <w:lang w:val="hr-HR"/>
        </w:rPr>
        <w:t xml:space="preserve">, </w:t>
      </w:r>
      <w:hyperlink r:id="rId25">
        <w:r>
          <w:rPr>
            <w:rFonts w:eastAsia="Calibri" w:cs="Times New Roman" w:ascii="Times New Roman" w:hAnsi="Times New Roman"/>
            <w:szCs w:val="24"/>
            <w:lang w:val="hr-HR"/>
          </w:rPr>
          <w:t>126/12</w:t>
        </w:r>
      </w:hyperlink>
      <w:r>
        <w:rPr>
          <w:rFonts w:eastAsia="Calibri" w:cs="Times New Roman" w:ascii="Times New Roman" w:hAnsi="Times New Roman"/>
          <w:szCs w:val="24"/>
          <w:lang w:val="hr-HR"/>
        </w:rPr>
        <w:t xml:space="preserve">, </w:t>
      </w:r>
      <w:hyperlink r:id="rId26">
        <w:r>
          <w:rPr>
            <w:rFonts w:eastAsia="Calibri" w:cs="Times New Roman" w:ascii="Times New Roman" w:hAnsi="Times New Roman"/>
            <w:szCs w:val="24"/>
            <w:lang w:val="hr-HR"/>
          </w:rPr>
          <w:t>94/13</w:t>
        </w:r>
      </w:hyperlink>
      <w:r>
        <w:rPr>
          <w:rFonts w:eastAsia="Calibri" w:cs="Times New Roman" w:ascii="Times New Roman" w:hAnsi="Times New Roman"/>
          <w:szCs w:val="24"/>
          <w:lang w:val="hr-HR"/>
        </w:rPr>
        <w:t xml:space="preserve">, </w:t>
      </w:r>
      <w:hyperlink r:id="rId27">
        <w:r>
          <w:rPr>
            <w:rFonts w:eastAsia="Calibri" w:cs="Times New Roman" w:ascii="Times New Roman" w:hAnsi="Times New Roman"/>
            <w:szCs w:val="24"/>
            <w:lang w:val="hr-HR"/>
          </w:rPr>
          <w:t>152/14</w:t>
        </w:r>
      </w:hyperlink>
      <w:r>
        <w:rPr>
          <w:rFonts w:eastAsia="Calibri" w:cs="Times New Roman" w:ascii="Times New Roman" w:hAnsi="Times New Roman"/>
          <w:szCs w:val="24"/>
          <w:lang w:val="hr-HR"/>
        </w:rPr>
        <w:t xml:space="preserve">, </w:t>
      </w:r>
      <w:hyperlink r:id="rId28">
        <w:r>
          <w:rPr>
            <w:rFonts w:eastAsia="Calibri" w:cs="Times New Roman" w:ascii="Times New Roman" w:hAnsi="Times New Roman"/>
            <w:szCs w:val="24"/>
            <w:lang w:val="hr-HR"/>
          </w:rPr>
          <w:t>07/17</w:t>
        </w:r>
      </w:hyperlink>
      <w:r>
        <w:rPr>
          <w:rFonts w:eastAsia="Calibri" w:cs="Times New Roman" w:ascii="Times New Roman" w:hAnsi="Times New Roman"/>
          <w:szCs w:val="24"/>
          <w:lang w:val="hr-HR"/>
        </w:rPr>
        <w:t xml:space="preserve">, </w:t>
      </w:r>
      <w:hyperlink r:id="rId29" w:tgtFrame="_blank">
        <w:r>
          <w:rPr>
            <w:rFonts w:eastAsia="Calibri" w:cs="Times New Roman" w:ascii="Times New Roman" w:hAnsi="Times New Roman"/>
            <w:szCs w:val="24"/>
            <w:lang w:val="hr-HR"/>
          </w:rPr>
          <w:t>68/18</w:t>
        </w:r>
      </w:hyperlink>
      <w:r>
        <w:rPr>
          <w:rFonts w:eastAsia="Calibri" w:cs="Times New Roman" w:ascii="Times New Roman" w:hAnsi="Times New Roman"/>
          <w:szCs w:val="24"/>
          <w:lang w:val="hr-HR"/>
        </w:rPr>
        <w:t xml:space="preserve">, </w:t>
      </w:r>
      <w:hyperlink r:id="rId30" w:tgtFrame="_blank">
        <w:r>
          <w:rPr>
            <w:rFonts w:eastAsia="Calibri" w:cs="Times New Roman" w:ascii="Times New Roman" w:hAnsi="Times New Roman"/>
            <w:szCs w:val="24"/>
            <w:lang w:val="hr-HR"/>
          </w:rPr>
          <w:t>98/19</w:t>
        </w:r>
      </w:hyperlink>
      <w:r>
        <w:rPr>
          <w:rFonts w:eastAsia="Calibri" w:cs="Times New Roman" w:ascii="Times New Roman" w:hAnsi="Times New Roman"/>
          <w:szCs w:val="24"/>
          <w:lang w:val="hr-HR"/>
        </w:rPr>
        <w:t xml:space="preserve">, </w:t>
      </w:r>
      <w:hyperlink r:id="rId31">
        <w:r>
          <w:rPr>
            <w:rFonts w:eastAsia="Calibri" w:cs="Times New Roman" w:ascii="Times New Roman" w:hAnsi="Times New Roman"/>
            <w:szCs w:val="24"/>
            <w:lang w:val="hr-HR"/>
          </w:rPr>
          <w:t>64/20</w:t>
        </w:r>
      </w:hyperlink>
      <w:r>
        <w:rPr>
          <w:rFonts w:eastAsia="Calibri" w:cs="Times New Roman" w:ascii="Times New Roman" w:hAnsi="Times New Roman"/>
          <w:szCs w:val="24"/>
          <w:lang w:val="hr-HR"/>
        </w:rPr>
        <w:t xml:space="preserve">, 151/22, 155/23 i 156/23) i na temelju članka </w:t>
      </w:r>
      <w:r>
        <w:rPr>
          <w:rFonts w:ascii="Times New Roman" w:hAnsi="Times New Roman"/>
          <w:lang w:val="hr-HR"/>
        </w:rPr>
        <w:t>19., točke 2. Statuta Općine Negoslavci („Službeni glasnik Općine Negoslavci” broj 4/25)</w:t>
      </w:r>
      <w:r>
        <w:rPr>
          <w:rFonts w:eastAsia="Calibri" w:cs="Times New Roman" w:ascii="Times New Roman" w:hAnsi="Times New Roman"/>
          <w:szCs w:val="24"/>
          <w:lang w:val="hr-HR"/>
        </w:rPr>
        <w:t>, Općinsko vijeće Općine Negoslavci na svojoj redovnoj sjednici održano</w:t>
      </w:r>
      <w:r>
        <w:rPr>
          <w:rFonts w:eastAsia="Calibri" w:cs="Times New Roman" w:ascii="Times New Roman" w:hAnsi="Times New Roman"/>
          <w:color w:val="000000"/>
          <w:szCs w:val="24"/>
          <w:lang w:val="hr-HR"/>
        </w:rPr>
        <w:t>j dana 25.06.2026. godine d</w:t>
      </w:r>
      <w:r>
        <w:rPr>
          <w:rFonts w:eastAsia="Calibri" w:cs="Times New Roman" w:ascii="Times New Roman" w:hAnsi="Times New Roman"/>
          <w:szCs w:val="24"/>
          <w:lang w:val="hr-HR"/>
        </w:rPr>
        <w:t>onosi</w:t>
      </w:r>
    </w:p>
    <w:p>
      <w:pPr>
        <w:pStyle w:val="Normal"/>
        <w:bidi w:val="0"/>
        <w:jc w:val="both"/>
        <w:rPr>
          <w:rFonts w:ascii="Times New Roman" w:hAnsi="Times New Roman" w:eastAsia="Calibri" w:cs="Times New Roman"/>
          <w:b/>
          <w:b/>
          <w:szCs w:val="24"/>
          <w:lang w:val="hr-HR"/>
        </w:rPr>
      </w:pPr>
      <w:r>
        <w:rPr>
          <w:rFonts w:eastAsia="Calibri" w:cs="Times New Roman" w:ascii="Times New Roman" w:hAnsi="Times New Roman"/>
          <w:b/>
          <w:szCs w:val="24"/>
          <w:lang w:val="hr-HR"/>
        </w:rPr>
      </w:r>
    </w:p>
    <w:p>
      <w:pPr>
        <w:pStyle w:val="Normal"/>
        <w:keepNext w:val="true"/>
        <w:numPr>
          <w:ilvl w:val="0"/>
          <w:numId w:val="0"/>
        </w:numPr>
        <w:bidi w:val="0"/>
        <w:ind w:left="0" w:hanging="0"/>
        <w:jc w:val="center"/>
        <w:outlineLvl w:val="0"/>
        <w:rPr>
          <w:rFonts w:ascii="Times New Roman" w:hAnsi="Times New Roman"/>
        </w:rPr>
      </w:pPr>
      <w:r>
        <w:rPr>
          <w:rFonts w:eastAsia="Calibri" w:cs="Times New Roman" w:ascii="Times New Roman" w:hAnsi="Times New Roman"/>
          <w:b/>
          <w:szCs w:val="24"/>
          <w:lang w:val="hr-HR"/>
        </w:rPr>
        <w:t xml:space="preserve">Izmjene i dopune </w:t>
      </w:r>
      <w:bookmarkStart w:id="37" w:name="_GoBack3"/>
      <w:bookmarkStart w:id="38" w:name="_Toc62727858"/>
      <w:r>
        <w:rPr>
          <w:rFonts w:eastAsia="Calibri" w:cs="Times New Roman" w:ascii="Times New Roman" w:hAnsi="Times New Roman"/>
          <w:b/>
          <w:szCs w:val="24"/>
          <w:lang w:val="hr-HR"/>
        </w:rPr>
        <w:t>Programa javnih potreba u obrazovanju Općine Negoslavci za 2026. godinu</w:t>
      </w:r>
      <w:bookmarkEnd w:id="37"/>
      <w:bookmarkEnd w:id="38"/>
    </w:p>
    <w:p>
      <w:pPr>
        <w:pStyle w:val="Normal"/>
        <w:keepNext w:val="true"/>
        <w:numPr>
          <w:ilvl w:val="0"/>
          <w:numId w:val="0"/>
        </w:numPr>
        <w:bidi w:val="0"/>
        <w:ind w:left="0" w:hanging="0"/>
        <w:jc w:val="center"/>
        <w:outlineLvl w:val="0"/>
        <w:rPr>
          <w:rFonts w:ascii="Times New Roman" w:hAnsi="Times New Roman" w:eastAsia="Calibri" w:cs="Times New Roman"/>
          <w:b/>
          <w:b/>
          <w:szCs w:val="24"/>
          <w:lang w:val="hr-HR"/>
        </w:rPr>
      </w:pPr>
      <w:r>
        <w:rPr>
          <w:rFonts w:eastAsia="Calibri" w:cs="Times New Roman" w:ascii="Times New Roman" w:hAnsi="Times New Roman"/>
          <w:b/>
          <w:szCs w:val="24"/>
          <w:lang w:val="hr-HR"/>
        </w:rPr>
      </w:r>
    </w:p>
    <w:p>
      <w:pPr>
        <w:pStyle w:val="Normal"/>
        <w:keepNext w:val="true"/>
        <w:numPr>
          <w:ilvl w:val="0"/>
          <w:numId w:val="0"/>
        </w:numPr>
        <w:bidi w:val="0"/>
        <w:ind w:left="0" w:hanging="0"/>
        <w:jc w:val="center"/>
        <w:outlineLvl w:val="0"/>
        <w:rPr>
          <w:rFonts w:ascii="Times New Roman" w:hAnsi="Times New Roman"/>
        </w:rPr>
      </w:pPr>
      <w:r>
        <w:rPr>
          <w:rFonts w:eastAsia="Calibri" w:cs="Times New Roman" w:ascii="Times New Roman" w:hAnsi="Times New Roman"/>
          <w:b/>
          <w:szCs w:val="24"/>
          <w:lang w:val="hr-HR"/>
        </w:rPr>
        <w:t>I</w:t>
      </w:r>
    </w:p>
    <w:p>
      <w:pPr>
        <w:pStyle w:val="Normal"/>
        <w:bidi w:val="0"/>
        <w:jc w:val="both"/>
        <w:rPr>
          <w:rFonts w:ascii="Times New Roman" w:hAnsi="Times New Roman"/>
        </w:rPr>
      </w:pPr>
      <w:r>
        <w:rPr>
          <w:rFonts w:eastAsia="Calibri" w:cs="Times New Roman" w:ascii="Times New Roman" w:hAnsi="Times New Roman"/>
          <w:b/>
          <w:szCs w:val="24"/>
          <w:lang w:val="hr-HR"/>
        </w:rPr>
        <w:tab/>
      </w:r>
      <w:r>
        <w:rPr>
          <w:rFonts w:eastAsia="Calibri" w:cs="Times New Roman" w:ascii="Times New Roman" w:hAnsi="Times New Roman"/>
          <w:b w:val="false"/>
          <w:bCs w:val="false"/>
          <w:szCs w:val="24"/>
          <w:lang w:val="hr-HR"/>
        </w:rPr>
        <w:t>Mijenja se točka I. Programa javnih potreba u obrazovanju Općine Negoslavci za 2026. godinu („Službeni glasnik Općine Negoslavci” broj 11/25) i glasi:</w:t>
      </w:r>
      <w:r>
        <w:rPr>
          <w:rFonts w:eastAsia="Calibri" w:cs="Times New Roman" w:ascii="Times New Roman" w:hAnsi="Times New Roman"/>
          <w:b/>
          <w:szCs w:val="24"/>
          <w:lang w:val="hr-HR"/>
        </w:rPr>
        <w:tab/>
      </w:r>
    </w:p>
    <w:p>
      <w:pPr>
        <w:pStyle w:val="Normal"/>
        <w:bidi w:val="0"/>
        <w:jc w:val="both"/>
        <w:rPr>
          <w:rFonts w:ascii="Times New Roman" w:hAnsi="Times New Roman"/>
        </w:rPr>
      </w:pPr>
      <w:r>
        <w:rPr>
          <w:rFonts w:eastAsia="Calibri" w:cs="Times New Roman" w:ascii="Times New Roman" w:hAnsi="Times New Roman"/>
          <w:b/>
          <w:bCs w:val="false"/>
          <w:szCs w:val="24"/>
          <w:lang w:val="hr-HR"/>
        </w:rPr>
        <w:tab/>
        <w:t>„</w:t>
      </w:r>
      <w:r>
        <w:rPr>
          <w:rFonts w:eastAsia="Calibri" w:cs="Times New Roman" w:ascii="Times New Roman" w:hAnsi="Times New Roman"/>
          <w:b w:val="false"/>
          <w:bCs w:val="false"/>
          <w:szCs w:val="24"/>
          <w:lang w:val="hr-HR"/>
        </w:rPr>
        <w:t>Za ostvarenje Programa javnih potreba u obrazovanju Općine Negoslavci za 2026. godinu pla</w:t>
      </w:r>
      <w:r>
        <w:rPr>
          <w:rFonts w:eastAsia="Calibri" w:cs="Times New Roman" w:ascii="Times New Roman" w:hAnsi="Times New Roman"/>
          <w:b w:val="false"/>
          <w:bCs w:val="false"/>
          <w:color w:val="000000"/>
          <w:szCs w:val="24"/>
          <w:lang w:val="hr-HR"/>
        </w:rPr>
        <w:t>nira se:</w:t>
      </w:r>
    </w:p>
    <w:p>
      <w:pPr>
        <w:pStyle w:val="Normal"/>
        <w:numPr>
          <w:ilvl w:val="0"/>
          <w:numId w:val="4"/>
        </w:numPr>
        <w:bidi w:val="0"/>
        <w:spacing w:before="0" w:after="0"/>
        <w:contextualSpacing/>
        <w:jc w:val="both"/>
        <w:rPr>
          <w:color w:val="000000"/>
        </w:rPr>
      </w:pPr>
      <w:r>
        <w:rPr>
          <w:rFonts w:eastAsia="Calibri" w:cs="Times New Roman" w:ascii="Times New Roman" w:hAnsi="Times New Roman"/>
          <w:color w:val="000000"/>
          <w:sz w:val="22"/>
          <w:szCs w:val="22"/>
          <w:lang w:val="hr-HR"/>
        </w:rPr>
        <w:t xml:space="preserve">1. </w:t>
      </w:r>
      <w:r>
        <w:rPr>
          <w:rFonts w:eastAsia="Calibri" w:cs="Times New Roman" w:ascii="Times New Roman" w:hAnsi="Times New Roman"/>
          <w:color w:val="000000"/>
          <w:sz w:val="22"/>
          <w:szCs w:val="22"/>
          <w:lang w:val="hr-HR"/>
        </w:rPr>
        <w:t>Predškolsko obrazovanje</w:t>
        <w:tab/>
      </w:r>
      <w:r>
        <w:rPr>
          <w:rFonts w:eastAsia="Calibri" w:cs="Times New Roman" w:ascii="Times New Roman" w:hAnsi="Times New Roman"/>
          <w:b/>
          <w:bCs/>
          <w:color w:val="000000"/>
          <w:sz w:val="22"/>
          <w:szCs w:val="22"/>
          <w:lang w:val="hr-HR"/>
        </w:rPr>
        <w:t xml:space="preserve">            </w:t>
      </w:r>
    </w:p>
    <w:p>
      <w:pPr>
        <w:pStyle w:val="ListParagraph"/>
        <w:numPr>
          <w:ilvl w:val="0"/>
          <w:numId w:val="5"/>
        </w:numPr>
        <w:bidi w:val="0"/>
        <w:ind w:left="1560" w:hanging="426"/>
        <w:jc w:val="both"/>
        <w:rPr>
          <w:color w:val="000000"/>
        </w:rPr>
      </w:pPr>
      <w:r>
        <w:rPr>
          <w:rFonts w:eastAsia="Calibri" w:cs="Times New Roman" w:ascii="Times New Roman" w:hAnsi="Times New Roman"/>
          <w:color w:val="000000"/>
          <w:sz w:val="22"/>
          <w:szCs w:val="22"/>
          <w:lang w:val="hr-HR"/>
        </w:rPr>
        <w:t xml:space="preserve">Obuća za predškolce </w:t>
        <w:tab/>
        <w:tab/>
        <w:tab/>
        <w:tab/>
        <w:tab/>
        <w:t xml:space="preserve">            550,00 EUR</w:t>
      </w:r>
    </w:p>
    <w:p>
      <w:pPr>
        <w:pStyle w:val="ListParagraph"/>
        <w:numPr>
          <w:ilvl w:val="0"/>
          <w:numId w:val="5"/>
        </w:numPr>
        <w:bidi w:val="0"/>
        <w:ind w:left="1560" w:hanging="426"/>
        <w:jc w:val="both"/>
        <w:rPr>
          <w:color w:val="000000"/>
        </w:rPr>
      </w:pPr>
      <w:r>
        <w:rPr>
          <w:rFonts w:eastAsia="Calibri" w:cs="Times New Roman" w:ascii="Times New Roman" w:hAnsi="Times New Roman"/>
          <w:color w:val="000000"/>
          <w:sz w:val="22"/>
          <w:szCs w:val="22"/>
          <w:lang w:val="hr-HR"/>
        </w:rPr>
        <w:t>Tekuće donacije                                                                             16.500,00 EUR</w:t>
      </w:r>
    </w:p>
    <w:p>
      <w:pPr>
        <w:pStyle w:val="ListParagraph"/>
        <w:numPr>
          <w:ilvl w:val="0"/>
          <w:numId w:val="5"/>
        </w:numPr>
        <w:bidi w:val="0"/>
        <w:ind w:left="1560" w:hanging="426"/>
        <w:jc w:val="both"/>
        <w:rPr>
          <w:color w:val="000000"/>
        </w:rPr>
      </w:pPr>
      <w:r>
        <w:rPr>
          <w:rFonts w:eastAsia="Calibri" w:cs="Times New Roman" w:ascii="Times New Roman" w:hAnsi="Times New Roman"/>
          <w:color w:val="000000"/>
          <w:sz w:val="22"/>
          <w:szCs w:val="22"/>
          <w:lang w:val="hr-HR"/>
        </w:rPr>
        <w:t>Pribor, bojanke i drugo                                                                    2.000,00 EUR</w:t>
      </w:r>
    </w:p>
    <w:p>
      <w:pPr>
        <w:pStyle w:val="ListParagraph"/>
        <w:numPr>
          <w:ilvl w:val="0"/>
          <w:numId w:val="5"/>
        </w:numPr>
        <w:bidi w:val="0"/>
        <w:ind w:left="1560" w:hanging="426"/>
        <w:jc w:val="both"/>
        <w:rPr>
          <w:color w:val="000000"/>
        </w:rPr>
      </w:pPr>
      <w:r>
        <w:rPr>
          <w:rFonts w:eastAsia="Calibri" w:cs="Times New Roman" w:ascii="Times New Roman" w:hAnsi="Times New Roman"/>
          <w:color w:val="000000"/>
          <w:sz w:val="22"/>
          <w:szCs w:val="22"/>
          <w:lang w:val="hr-HR"/>
        </w:rPr>
        <w:t>Troškovi sufinanciranja prehrane predškole</w:t>
        <w:tab/>
        <w:t xml:space="preserve">                                    3.000.00 EUR</w:t>
      </w:r>
    </w:p>
    <w:p>
      <w:pPr>
        <w:pStyle w:val="ListParagraph"/>
        <w:numPr>
          <w:ilvl w:val="0"/>
          <w:numId w:val="5"/>
        </w:numPr>
        <w:bidi w:val="0"/>
        <w:ind w:left="1560" w:hanging="426"/>
        <w:jc w:val="both"/>
        <w:rPr>
          <w:color w:val="000000"/>
        </w:rPr>
      </w:pPr>
      <w:r>
        <w:rPr>
          <w:rFonts w:eastAsia="Calibri" w:cs="Times New Roman" w:ascii="Times New Roman" w:hAnsi="Times New Roman"/>
          <w:color w:val="000000"/>
          <w:sz w:val="22"/>
          <w:szCs w:val="22"/>
          <w:lang w:val="hr-HR"/>
        </w:rPr>
        <w:t>Ekskurzije                                                                                         1.500,00 EUR</w:t>
      </w:r>
    </w:p>
    <w:p>
      <w:pPr>
        <w:pStyle w:val="ListParagraph"/>
        <w:numPr>
          <w:ilvl w:val="0"/>
          <w:numId w:val="5"/>
        </w:numPr>
        <w:bidi w:val="0"/>
        <w:ind w:left="1560" w:hanging="426"/>
        <w:jc w:val="both"/>
        <w:rPr>
          <w:color w:val="000000"/>
        </w:rPr>
      </w:pPr>
      <w:r>
        <w:rPr>
          <w:rFonts w:eastAsia="Calibri" w:cs="Times New Roman" w:ascii="Times New Roman" w:hAnsi="Times New Roman"/>
          <w:color w:val="000000"/>
          <w:sz w:val="22"/>
          <w:szCs w:val="22"/>
          <w:lang w:val="hr-HR"/>
        </w:rPr>
        <w:t>Tekuće donacije održavanje i opremanje                                         4.000,00 EUR</w:t>
      </w:r>
    </w:p>
    <w:p>
      <w:pPr>
        <w:pStyle w:val="Normal"/>
        <w:numPr>
          <w:ilvl w:val="0"/>
          <w:numId w:val="4"/>
        </w:numPr>
        <w:bidi w:val="0"/>
        <w:spacing w:before="0" w:after="0"/>
        <w:contextualSpacing/>
        <w:jc w:val="both"/>
        <w:rPr>
          <w:color w:val="000000"/>
        </w:rPr>
      </w:pPr>
      <w:r>
        <w:rPr>
          <w:rFonts w:eastAsia="Calibri" w:cs="Times New Roman" w:ascii="Times New Roman" w:hAnsi="Times New Roman"/>
          <w:color w:val="000000"/>
          <w:sz w:val="22"/>
          <w:szCs w:val="22"/>
          <w:lang w:val="hr-HR"/>
        </w:rPr>
        <w:t xml:space="preserve">2. </w:t>
      </w:r>
      <w:r>
        <w:rPr>
          <w:rFonts w:eastAsia="Calibri" w:cs="Times New Roman" w:ascii="Times New Roman" w:hAnsi="Times New Roman"/>
          <w:color w:val="000000"/>
          <w:sz w:val="22"/>
          <w:szCs w:val="22"/>
          <w:lang w:val="hr-HR"/>
        </w:rPr>
        <w:t>Srednjoškolsko obrazovanje</w:t>
      </w:r>
    </w:p>
    <w:p>
      <w:pPr>
        <w:pStyle w:val="Normal"/>
        <w:numPr>
          <w:ilvl w:val="0"/>
          <w:numId w:val="0"/>
        </w:numPr>
        <w:bidi w:val="0"/>
        <w:spacing w:before="0" w:after="0"/>
        <w:ind w:left="786" w:hanging="0"/>
        <w:contextualSpacing/>
        <w:jc w:val="both"/>
        <w:rPr>
          <w:color w:val="000000"/>
        </w:rPr>
      </w:pPr>
      <w:r>
        <w:rPr>
          <w:rFonts w:eastAsia="Calibri" w:cs="Times New Roman" w:ascii="Times New Roman" w:hAnsi="Times New Roman"/>
          <w:color w:val="000000"/>
          <w:sz w:val="22"/>
          <w:szCs w:val="22"/>
          <w:lang w:val="hr-HR"/>
        </w:rPr>
        <w:t xml:space="preserve">       </w:t>
      </w:r>
      <w:r>
        <w:rPr>
          <w:rFonts w:eastAsia="Calibri" w:cs="Times New Roman" w:ascii="Times New Roman" w:hAnsi="Times New Roman"/>
          <w:color w:val="000000"/>
          <w:sz w:val="22"/>
          <w:szCs w:val="22"/>
          <w:lang w:val="hr-HR"/>
        </w:rPr>
        <w:t>Sufinanciranje javnog prijevoza srednjoškolskih učenika               5.000,00 EUR</w:t>
      </w:r>
    </w:p>
    <w:p>
      <w:pPr>
        <w:pStyle w:val="Normal"/>
        <w:numPr>
          <w:ilvl w:val="0"/>
          <w:numId w:val="4"/>
        </w:numPr>
        <w:bidi w:val="0"/>
        <w:spacing w:before="0" w:after="0"/>
        <w:contextualSpacing/>
        <w:jc w:val="both"/>
        <w:rPr>
          <w:color w:val="000000"/>
        </w:rPr>
      </w:pPr>
      <w:r>
        <w:rPr>
          <w:rFonts w:eastAsia="Calibri" w:cs="Times New Roman" w:ascii="Times New Roman" w:hAnsi="Times New Roman"/>
          <w:b/>
          <w:color w:val="000000"/>
          <w:sz w:val="22"/>
          <w:szCs w:val="22"/>
          <w:lang w:val="hr-HR"/>
        </w:rPr>
        <w:t xml:space="preserve">3. </w:t>
      </w:r>
      <w:r>
        <w:rPr>
          <w:rFonts w:eastAsia="Calibri" w:cs="Times New Roman" w:ascii="Times New Roman" w:hAnsi="Times New Roman"/>
          <w:b/>
          <w:color w:val="000000"/>
          <w:sz w:val="22"/>
          <w:szCs w:val="22"/>
          <w:lang w:val="hr-HR"/>
        </w:rPr>
        <w:t xml:space="preserve">Osnovno školstvo                                                                                           </w:t>
      </w:r>
    </w:p>
    <w:p>
      <w:pPr>
        <w:pStyle w:val="Normal"/>
        <w:numPr>
          <w:ilvl w:val="0"/>
          <w:numId w:val="4"/>
        </w:numPr>
        <w:bidi w:val="0"/>
        <w:spacing w:before="0" w:after="0"/>
        <w:contextualSpacing/>
        <w:jc w:val="both"/>
        <w:rPr>
          <w:color w:val="000000"/>
        </w:rPr>
      </w:pPr>
      <w:r>
        <w:rPr>
          <w:rFonts w:eastAsia="Calibri" w:cs="Times New Roman" w:ascii="Times New Roman" w:hAnsi="Times New Roman"/>
          <w:color w:val="000000"/>
          <w:sz w:val="22"/>
          <w:szCs w:val="22"/>
          <w:lang w:val="hr-HR"/>
        </w:rPr>
        <w:t xml:space="preserve">                     </w:t>
      </w:r>
      <w:r>
        <w:rPr>
          <w:rFonts w:eastAsia="Calibri" w:cs="Times New Roman" w:ascii="Times New Roman" w:hAnsi="Times New Roman"/>
          <w:color w:val="000000"/>
          <w:sz w:val="22"/>
          <w:szCs w:val="22"/>
          <w:lang w:val="hr-HR"/>
        </w:rPr>
        <w:t xml:space="preserve">Tekuće donacije OŠ                                                                       </w:t>
      </w:r>
      <w:r>
        <w:rPr>
          <w:rFonts w:eastAsia="Calibri" w:cs="Times New Roman" w:ascii="Times New Roman" w:hAnsi="Times New Roman"/>
          <w:color w:val="000000"/>
          <w:sz w:val="22"/>
          <w:szCs w:val="22"/>
          <w:lang w:val="hr-HR"/>
        </w:rPr>
        <w:t xml:space="preserve">   1.500,00 </w:t>
      </w:r>
      <w:r>
        <w:rPr>
          <w:rFonts w:eastAsia="Calibri" w:cs="Times New Roman" w:ascii="Times New Roman" w:hAnsi="Times New Roman"/>
          <w:color w:val="000000"/>
          <w:sz w:val="22"/>
          <w:szCs w:val="24"/>
          <w:lang w:val="hr-HR"/>
        </w:rPr>
        <w:t xml:space="preserve"> EUR</w:t>
      </w:r>
    </w:p>
    <w:p>
      <w:pPr>
        <w:pStyle w:val="Normal"/>
        <w:numPr>
          <w:ilvl w:val="0"/>
          <w:numId w:val="4"/>
        </w:numPr>
        <w:bidi w:val="0"/>
        <w:spacing w:before="0" w:after="0"/>
        <w:contextualSpacing/>
        <w:jc w:val="both"/>
        <w:rPr>
          <w:color w:val="000000"/>
        </w:rPr>
      </w:pPr>
      <w:r>
        <w:rPr>
          <w:rFonts w:eastAsia="Calibri" w:cs="Times New Roman" w:ascii="Times New Roman" w:hAnsi="Times New Roman"/>
          <w:color w:val="000000"/>
          <w:sz w:val="22"/>
          <w:szCs w:val="22"/>
          <w:lang w:val="hr-HR"/>
        </w:rPr>
        <w:t xml:space="preserve">                     </w:t>
      </w:r>
      <w:r>
        <w:rPr>
          <w:rFonts w:eastAsia="Calibri" w:cs="Times New Roman" w:ascii="Times New Roman" w:hAnsi="Times New Roman"/>
          <w:color w:val="000000"/>
          <w:sz w:val="22"/>
          <w:szCs w:val="22"/>
          <w:lang w:val="hr-HR"/>
        </w:rPr>
        <w:t>Obuća za školarce</w:t>
        <w:tab/>
        <w:tab/>
        <w:tab/>
        <w:tab/>
        <w:tab/>
        <w:t xml:space="preserve">                          2.300,00 EUR</w:t>
      </w:r>
    </w:p>
    <w:p>
      <w:pPr>
        <w:pStyle w:val="Normal"/>
        <w:numPr>
          <w:ilvl w:val="0"/>
          <w:numId w:val="4"/>
        </w:numPr>
        <w:bidi w:val="0"/>
        <w:spacing w:before="0" w:after="0"/>
        <w:contextualSpacing/>
        <w:jc w:val="both"/>
        <w:rPr>
          <w:color w:val="000000"/>
        </w:rPr>
      </w:pPr>
      <w:r>
        <w:rPr>
          <w:rFonts w:eastAsia="Calibri" w:cs="Times New Roman" w:ascii="Times New Roman" w:hAnsi="Times New Roman"/>
          <w:color w:val="000000"/>
          <w:sz w:val="22"/>
          <w:szCs w:val="22"/>
          <w:lang w:val="hr-HR"/>
        </w:rPr>
        <w:t xml:space="preserve">                     </w:t>
      </w:r>
      <w:r>
        <w:rPr>
          <w:rFonts w:eastAsia="Calibri" w:cs="Times New Roman" w:ascii="Times New Roman" w:hAnsi="Times New Roman"/>
          <w:color w:val="000000"/>
          <w:sz w:val="22"/>
          <w:szCs w:val="22"/>
          <w:lang w:val="hr-HR"/>
        </w:rPr>
        <w:t>Sufinanciranje ekskurzije učenicima</w:t>
        <w:tab/>
        <w:tab/>
        <w:tab/>
        <w:t xml:space="preserve">            </w:t>
      </w:r>
      <w:r>
        <w:rPr>
          <w:rFonts w:eastAsia="Calibri" w:cs="Times New Roman" w:ascii="Times New Roman" w:hAnsi="Times New Roman"/>
          <w:color w:val="000000"/>
          <w:sz w:val="22"/>
          <w:szCs w:val="22"/>
          <w:lang w:val="hr-HR"/>
        </w:rPr>
        <w:t>15</w:t>
      </w:r>
      <w:r>
        <w:rPr>
          <w:rFonts w:eastAsia="Calibri" w:cs="Times New Roman" w:ascii="Times New Roman" w:hAnsi="Times New Roman"/>
          <w:color w:val="000000"/>
          <w:sz w:val="22"/>
          <w:szCs w:val="22"/>
          <w:lang w:val="hr-HR"/>
        </w:rPr>
        <w:t>.</w:t>
      </w:r>
      <w:r>
        <w:rPr>
          <w:rFonts w:eastAsia="Calibri" w:cs="Times New Roman" w:ascii="Times New Roman" w:hAnsi="Times New Roman"/>
          <w:color w:val="000000"/>
          <w:sz w:val="22"/>
          <w:szCs w:val="22"/>
          <w:lang w:val="hr-HR"/>
        </w:rPr>
        <w:t>0</w:t>
      </w:r>
      <w:r>
        <w:rPr>
          <w:rFonts w:eastAsia="Calibri" w:cs="Times New Roman" w:ascii="Times New Roman" w:hAnsi="Times New Roman"/>
          <w:color w:val="000000"/>
          <w:sz w:val="22"/>
          <w:szCs w:val="22"/>
          <w:lang w:val="hr-HR"/>
        </w:rPr>
        <w:t>00,00 EUR</w:t>
      </w:r>
    </w:p>
    <w:p>
      <w:pPr>
        <w:pStyle w:val="Normal"/>
        <w:numPr>
          <w:ilvl w:val="0"/>
          <w:numId w:val="4"/>
        </w:numPr>
        <w:bidi w:val="0"/>
        <w:spacing w:before="0" w:after="0"/>
        <w:contextualSpacing/>
        <w:jc w:val="both"/>
        <w:rPr>
          <w:color w:val="000000"/>
        </w:rPr>
      </w:pPr>
      <w:r>
        <w:rPr>
          <w:rFonts w:eastAsia="Calibri" w:cs="Times New Roman" w:ascii="Times New Roman" w:hAnsi="Times New Roman"/>
          <w:color w:val="000000"/>
          <w:sz w:val="22"/>
          <w:szCs w:val="22"/>
          <w:lang w:val="hr-HR"/>
        </w:rPr>
        <w:t xml:space="preserve">                     </w:t>
      </w:r>
      <w:r>
        <w:rPr>
          <w:rFonts w:eastAsia="Calibri" w:cs="Times New Roman" w:ascii="Times New Roman" w:hAnsi="Times New Roman"/>
          <w:color w:val="000000"/>
          <w:sz w:val="22"/>
          <w:szCs w:val="22"/>
          <w:lang w:val="hr-HR"/>
        </w:rPr>
        <w:t>Sufinanciranje škole plivanja</w:t>
        <w:tab/>
        <w:tab/>
        <w:tab/>
        <w:tab/>
        <w:t xml:space="preserve">                    0,00 EUR</w:t>
      </w:r>
    </w:p>
    <w:p>
      <w:pPr>
        <w:pStyle w:val="Normal"/>
        <w:numPr>
          <w:ilvl w:val="0"/>
          <w:numId w:val="4"/>
        </w:numPr>
        <w:bidi w:val="0"/>
        <w:spacing w:before="0" w:after="0"/>
        <w:contextualSpacing/>
        <w:jc w:val="both"/>
        <w:rPr>
          <w:color w:val="000000"/>
        </w:rPr>
      </w:pPr>
      <w:r>
        <w:rPr>
          <w:rFonts w:eastAsia="Calibri" w:cs="Times New Roman" w:ascii="Times New Roman" w:hAnsi="Times New Roman"/>
          <w:b/>
          <w:color w:val="000000"/>
          <w:sz w:val="22"/>
          <w:szCs w:val="22"/>
          <w:lang w:val="hr-HR"/>
        </w:rPr>
        <w:t xml:space="preserve">           </w:t>
      </w:r>
      <w:r>
        <w:rPr>
          <w:rFonts w:eastAsia="Calibri" w:cs="Times New Roman" w:ascii="Times New Roman" w:hAnsi="Times New Roman"/>
          <w:b/>
          <w:color w:val="000000"/>
          <w:sz w:val="22"/>
          <w:szCs w:val="22"/>
          <w:lang w:val="hr-HR"/>
        </w:rPr>
        <w:t>UKUPNO:</w:t>
        <w:tab/>
        <w:tab/>
        <w:tab/>
        <w:tab/>
        <w:tab/>
        <w:tab/>
        <w:tab/>
        <w:t xml:space="preserve">            51.350,00 EUR.</w:t>
      </w:r>
      <w:r>
        <w:rPr>
          <w:rFonts w:eastAsia="Calibri" w:cs="Times New Roman" w:ascii="Times New Roman" w:hAnsi="Times New Roman"/>
          <w:b w:val="false"/>
          <w:bCs w:val="false"/>
          <w:color w:val="000000"/>
          <w:sz w:val="22"/>
          <w:szCs w:val="22"/>
          <w:lang w:val="hr-HR"/>
        </w:rPr>
        <w:t>”</w:t>
      </w:r>
    </w:p>
    <w:p>
      <w:pPr>
        <w:pStyle w:val="Normal"/>
        <w:bidi w:val="0"/>
        <w:spacing w:before="0" w:after="0"/>
        <w:ind w:left="720" w:hanging="0"/>
        <w:contextualSpacing/>
        <w:jc w:val="both"/>
        <w:rPr>
          <w:rFonts w:ascii="Times New Roman" w:hAnsi="Times New Roman" w:eastAsia="Calibri" w:cs="Times New Roman"/>
          <w:b/>
          <w:b/>
          <w:szCs w:val="24"/>
          <w:lang w:val="hr-HR"/>
        </w:rPr>
      </w:pPr>
      <w:r>
        <w:rPr>
          <w:rFonts w:eastAsia="Calibri" w:cs="Times New Roman" w:ascii="Times New Roman" w:hAnsi="Times New Roman"/>
          <w:b/>
          <w:szCs w:val="24"/>
          <w:lang w:val="hr-HR"/>
        </w:rPr>
      </w:r>
    </w:p>
    <w:p>
      <w:pPr>
        <w:pStyle w:val="Normal"/>
        <w:bidi w:val="0"/>
        <w:jc w:val="center"/>
        <w:rPr>
          <w:rFonts w:ascii="Times New Roman" w:hAnsi="Times New Roman"/>
        </w:rPr>
      </w:pPr>
      <w:r>
        <w:rPr>
          <w:rFonts w:eastAsia="Calibri" w:cs="Times New Roman" w:ascii="Times New Roman" w:hAnsi="Times New Roman"/>
          <w:b/>
          <w:szCs w:val="24"/>
          <w:lang w:val="hr-HR"/>
        </w:rPr>
        <w:t>II</w:t>
      </w:r>
    </w:p>
    <w:p>
      <w:pPr>
        <w:pStyle w:val="Normal"/>
        <w:widowControl w:val="false"/>
        <w:suppressAutoHyphens w:val="true"/>
        <w:bidi w:val="0"/>
        <w:spacing w:before="0" w:after="120"/>
        <w:ind w:firstLine="720"/>
        <w:jc w:val="both"/>
        <w:rPr>
          <w:rFonts w:ascii="Times New Roman" w:hAnsi="Times New Roman"/>
        </w:rPr>
      </w:pPr>
      <w:r>
        <w:rPr>
          <w:rFonts w:eastAsia="Andale Sans UI" w:cs="Times New Roman" w:ascii="Times New Roman" w:hAnsi="Times New Roman"/>
          <w:kern w:val="2"/>
          <w:szCs w:val="24"/>
          <w:lang w:val="hr-HR" w:eastAsia="zh-CN"/>
        </w:rPr>
        <w:t>Ostale odredbe Programa ne mijenjaju se, niti se dopunjuju.</w:t>
      </w:r>
    </w:p>
    <w:p>
      <w:pPr>
        <w:pStyle w:val="Normal"/>
        <w:bidi w:val="0"/>
        <w:jc w:val="center"/>
        <w:rPr>
          <w:rFonts w:ascii="Times New Roman" w:hAnsi="Times New Roman"/>
        </w:rPr>
      </w:pPr>
      <w:r>
        <w:rPr>
          <w:rFonts w:eastAsia="Calibri" w:cs="Times New Roman" w:ascii="Times New Roman" w:hAnsi="Times New Roman"/>
          <w:b/>
          <w:szCs w:val="24"/>
          <w:lang w:val="hr-HR"/>
        </w:rPr>
        <w:t>III</w:t>
      </w:r>
    </w:p>
    <w:p>
      <w:pPr>
        <w:pStyle w:val="Normal"/>
        <w:bidi w:val="0"/>
        <w:ind w:firstLine="708"/>
        <w:jc w:val="both"/>
        <w:rPr>
          <w:rFonts w:ascii="Times New Roman" w:hAnsi="Times New Roman"/>
        </w:rPr>
      </w:pPr>
      <w:r>
        <w:rPr>
          <w:rFonts w:eastAsia="Calibri" w:cs="Times New Roman" w:ascii="Times New Roman" w:hAnsi="Times New Roman"/>
          <w:szCs w:val="24"/>
          <w:lang w:val="hr-HR"/>
        </w:rPr>
        <w:tab/>
        <w:t>Ove Izmjene i dopune Programa stupaju na snagu dan nakon dana objave u Službenom glasniku Općine Negoslavci.</w:t>
      </w:r>
    </w:p>
    <w:p>
      <w:pPr>
        <w:pStyle w:val="Normal"/>
        <w:bidi w:val="0"/>
        <w:ind w:firstLine="708"/>
        <w:jc w:val="both"/>
        <w:rPr>
          <w:rFonts w:ascii="Times New Roman" w:hAnsi="Times New Roman"/>
        </w:rPr>
      </w:pPr>
      <w:r>
        <w:rPr/>
      </w:r>
    </w:p>
    <w:p>
      <w:pPr>
        <w:pStyle w:val="Normal"/>
        <w:bidi w:val="0"/>
        <w:jc w:val="both"/>
        <w:rPr>
          <w:b w:val="false"/>
          <w:b w:val="false"/>
          <w:bCs w:val="false"/>
        </w:rPr>
      </w:pPr>
      <w:r>
        <w:rPr>
          <w:rFonts w:eastAsia="Calibri" w:cs="Times New Roman" w:ascii="Times New Roman" w:hAnsi="Times New Roman"/>
          <w:b w:val="false"/>
          <w:bCs w:val="false"/>
          <w:color w:val="000000"/>
          <w:szCs w:val="24"/>
          <w:lang w:val="hr-HR"/>
        </w:rPr>
        <w:t>KLASA: 400-0</w:t>
      </w:r>
      <w:r>
        <w:rPr>
          <w:rFonts w:eastAsia="Calibri" w:cs="Times New Roman" w:ascii="Times New Roman" w:hAnsi="Times New Roman"/>
          <w:b w:val="false"/>
          <w:bCs w:val="false"/>
          <w:color w:val="000000"/>
        </w:rPr>
        <w:t>2/25-01/01</w:t>
      </w:r>
    </w:p>
    <w:p>
      <w:pPr>
        <w:pStyle w:val="Normal"/>
        <w:bidi w:val="0"/>
        <w:jc w:val="both"/>
        <w:rPr>
          <w:b w:val="false"/>
          <w:b w:val="false"/>
          <w:bCs w:val="false"/>
        </w:rPr>
      </w:pPr>
      <w:r>
        <w:rPr>
          <w:rFonts w:eastAsia="Calibri" w:cs="Times New Roman" w:ascii="Times New Roman" w:hAnsi="Times New Roman"/>
          <w:b w:val="false"/>
          <w:bCs w:val="false"/>
          <w:color w:val="000000"/>
          <w:szCs w:val="24"/>
          <w:lang w:val="hr-HR"/>
        </w:rPr>
        <w:t>URBROJ: 2196-19-02-26-27</w:t>
      </w:r>
    </w:p>
    <w:p>
      <w:pPr>
        <w:pStyle w:val="Normal"/>
        <w:bidi w:val="0"/>
        <w:jc w:val="both"/>
        <w:rPr>
          <w:b w:val="false"/>
          <w:b w:val="false"/>
          <w:bCs w:val="false"/>
        </w:rPr>
      </w:pPr>
      <w:r>
        <w:rPr>
          <w:rFonts w:eastAsia="Calibri" w:cs="Times New Roman" w:ascii="Times New Roman" w:hAnsi="Times New Roman"/>
          <w:b w:val="false"/>
          <w:bCs w:val="false"/>
          <w:color w:val="000000"/>
          <w:szCs w:val="24"/>
          <w:lang w:val="hr-HR"/>
        </w:rPr>
        <w:t>Negoslavci, 25. lipnja 2026.</w:t>
      </w:r>
    </w:p>
    <w:p>
      <w:pPr>
        <w:pStyle w:val="Normal"/>
        <w:bidi w:val="0"/>
        <w:ind w:firstLine="708"/>
        <w:jc w:val="both"/>
        <w:rPr>
          <w:rFonts w:ascii="Times New Roman" w:hAnsi="Times New Roman" w:eastAsia="Calibri" w:cs="Times New Roman"/>
          <w:szCs w:val="24"/>
          <w:lang w:val="hr-HR"/>
        </w:rPr>
      </w:pPr>
      <w:r>
        <w:rPr>
          <w:rFonts w:eastAsia="Calibri" w:cs="Times New Roman" w:ascii="Times New Roman" w:hAnsi="Times New Roman"/>
          <w:szCs w:val="24"/>
          <w:lang w:val="hr-HR"/>
        </w:rPr>
      </w:r>
    </w:p>
    <w:p>
      <w:pPr>
        <w:pStyle w:val="Normal"/>
        <w:bidi w:val="0"/>
        <w:jc w:val="center"/>
        <w:rPr/>
      </w:pPr>
      <w:r>
        <w:rPr>
          <w:rFonts w:eastAsia="Calibri" w:cs="Times New Roman" w:ascii="Times New Roman" w:hAnsi="Times New Roman"/>
          <w:b/>
          <w:szCs w:val="24"/>
          <w:lang w:val="hr-HR"/>
        </w:rPr>
        <w:t>PREDSJEDNIK OPĆINSKOG VIJEĆA</w:t>
      </w:r>
    </w:p>
    <w:p>
      <w:pPr>
        <w:pStyle w:val="Normal"/>
        <w:bidi w:val="0"/>
        <w:jc w:val="center"/>
        <w:rPr/>
      </w:pPr>
      <w:r>
        <w:rPr>
          <w:rFonts w:eastAsia="Calibri" w:cs="Times New Roman" w:ascii="Times New Roman" w:hAnsi="Times New Roman"/>
          <w:sz w:val="24"/>
          <w:szCs w:val="24"/>
          <w:lang w:val="hr-HR"/>
        </w:rPr>
        <w:t>Miodrag Mišanović</w:t>
      </w:r>
    </w:p>
    <w:p>
      <w:pPr>
        <w:pStyle w:val="Normal"/>
        <w:jc w:val="center"/>
        <w:rPr/>
      </w:pPr>
      <w:r>
        <w:rPr/>
        <w:drawing>
          <wp:inline distT="0" distB="0" distL="0" distR="0">
            <wp:extent cx="5761355" cy="36830"/>
            <wp:effectExtent l="0" t="0" r="0" b="0"/>
            <wp:docPr id="7" name="Slika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11" descr=""/>
                    <pic:cNvPicPr>
                      <a:picLocks noChangeAspect="1" noChangeArrowheads="1"/>
                    </pic:cNvPicPr>
                  </pic:nvPicPr>
                  <pic:blipFill>
                    <a:blip r:embed="rId32"/>
                    <a:stretch>
                      <a:fillRect/>
                    </a:stretch>
                  </pic:blipFill>
                  <pic:spPr bwMode="auto">
                    <a:xfrm>
                      <a:off x="0" y="0"/>
                      <a:ext cx="5761355" cy="36830"/>
                    </a:xfrm>
                    <a:prstGeom prst="rect">
                      <a:avLst/>
                    </a:prstGeom>
                  </pic:spPr>
                </pic:pic>
              </a:graphicData>
            </a:graphic>
          </wp:inline>
        </w:drawing>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bidi w:val="0"/>
        <w:ind w:hanging="0"/>
        <w:jc w:val="both"/>
        <w:rPr>
          <w:rFonts w:ascii="Times New Roman" w:hAnsi="Times New Roman"/>
        </w:rPr>
      </w:pPr>
      <w:r>
        <w:rPr>
          <w:rFonts w:eastAsia="Calibri" w:cs="Times New Roman" w:ascii="Times New Roman" w:hAnsi="Times New Roman"/>
          <w:color w:val="000000"/>
          <w:szCs w:val="24"/>
          <w:lang w:val="hr-HR"/>
        </w:rPr>
        <w:tab/>
      </w:r>
      <w:r>
        <w:rPr>
          <w:rFonts w:eastAsia="Calibri" w:cs="Times New Roman" w:ascii="Times New Roman" w:hAnsi="Times New Roman"/>
          <w:szCs w:val="24"/>
          <w:lang w:val="hr-HR"/>
        </w:rPr>
        <w:t xml:space="preserve">Na temelju članka 17. Zakona o sustavu civilne zaštite („Narodne novine“, broj 82/15,  118/18, 31/20, 20/21 i 114/22), članka 110., stavka 1. i članka 111. Zakona o vatrogastvu („Narodne novine“, broj, 125/19 i 114/22), članka 59., stavka 2. Zakona o zaštiti od požara („Narodne novine“, broj 92/10, 114/22 </w:t>
      </w:r>
      <w:r>
        <w:rPr>
          <w:rFonts w:eastAsia="Calibri" w:cs="Times New Roman" w:ascii="Times New Roman" w:hAnsi="Times New Roman"/>
          <w:szCs w:val="24"/>
          <w:lang w:val="hr-HR"/>
        </w:rPr>
        <w:t>i 155/23</w:t>
      </w:r>
      <w:r>
        <w:rPr>
          <w:rFonts w:eastAsia="Calibri" w:cs="Times New Roman" w:ascii="Times New Roman" w:hAnsi="Times New Roman"/>
          <w:szCs w:val="24"/>
          <w:lang w:val="hr-HR"/>
        </w:rPr>
        <w:t>) te članka 19., točke 2. Statuta Općine Negoslavci („Službeni glasnik Općine Negoslavci” broj 4/25) Općinsko vijeće Općine Negoslavci na svojoj redovnoj sjednici održanoj dana 2</w:t>
      </w:r>
      <w:r>
        <w:rPr>
          <w:rFonts w:eastAsia="Calibri" w:cs="Times New Roman" w:ascii="Times New Roman" w:hAnsi="Times New Roman"/>
          <w:szCs w:val="24"/>
          <w:lang w:val="hr-HR"/>
        </w:rPr>
        <w:t>5</w:t>
      </w:r>
      <w:r>
        <w:rPr>
          <w:rFonts w:eastAsia="Calibri" w:cs="Times New Roman" w:ascii="Times New Roman" w:hAnsi="Times New Roman"/>
          <w:szCs w:val="24"/>
          <w:lang w:val="hr-HR"/>
        </w:rPr>
        <w:t>.</w:t>
      </w:r>
      <w:r>
        <w:rPr>
          <w:rFonts w:eastAsia="Calibri" w:cs="Times New Roman" w:ascii="Times New Roman" w:hAnsi="Times New Roman"/>
          <w:szCs w:val="24"/>
          <w:lang w:val="hr-HR"/>
        </w:rPr>
        <w:t>06</w:t>
      </w:r>
      <w:r>
        <w:rPr>
          <w:rFonts w:eastAsia="Calibri" w:cs="Times New Roman" w:ascii="Times New Roman" w:hAnsi="Times New Roman"/>
          <w:szCs w:val="24"/>
          <w:lang w:val="hr-HR"/>
        </w:rPr>
        <w:t>.202</w:t>
      </w:r>
      <w:r>
        <w:rPr>
          <w:rFonts w:eastAsia="Calibri" w:cs="Times New Roman" w:ascii="Times New Roman" w:hAnsi="Times New Roman"/>
          <w:szCs w:val="24"/>
          <w:lang w:val="hr-HR"/>
        </w:rPr>
        <w:t>6</w:t>
      </w:r>
      <w:r>
        <w:rPr>
          <w:rFonts w:eastAsia="Calibri" w:cs="Times New Roman" w:ascii="Times New Roman" w:hAnsi="Times New Roman"/>
          <w:szCs w:val="24"/>
          <w:lang w:val="hr-HR"/>
        </w:rPr>
        <w:t>. godine donosi</w:t>
      </w:r>
    </w:p>
    <w:p>
      <w:pPr>
        <w:pStyle w:val="Normal"/>
        <w:bidi w:val="0"/>
        <w:jc w:val="both"/>
        <w:rPr>
          <w:rFonts w:ascii="Times New Roman" w:hAnsi="Times New Roman" w:eastAsia="Calibri" w:cs="Times New Roman"/>
          <w:szCs w:val="24"/>
          <w:lang w:val="hr-HR"/>
        </w:rPr>
      </w:pPr>
      <w:r>
        <w:rPr>
          <w:rFonts w:eastAsia="Calibri" w:cs="Times New Roman" w:ascii="Times New Roman" w:hAnsi="Times New Roman"/>
          <w:szCs w:val="24"/>
          <w:lang w:val="hr-HR"/>
        </w:rPr>
      </w:r>
    </w:p>
    <w:p>
      <w:pPr>
        <w:pStyle w:val="Normal"/>
        <w:keepNext w:val="true"/>
        <w:numPr>
          <w:ilvl w:val="0"/>
          <w:numId w:val="0"/>
        </w:numPr>
        <w:bidi w:val="0"/>
        <w:ind w:left="0" w:hanging="0"/>
        <w:jc w:val="center"/>
        <w:outlineLvl w:val="0"/>
        <w:rPr>
          <w:rFonts w:ascii="Times New Roman" w:hAnsi="Times New Roman"/>
        </w:rPr>
      </w:pPr>
      <w:r>
        <w:rPr>
          <w:rFonts w:eastAsia="Calibri" w:cs="Times New Roman" w:ascii="Times New Roman" w:hAnsi="Times New Roman"/>
          <w:b/>
          <w:szCs w:val="24"/>
          <w:lang w:val="hr-HR"/>
        </w:rPr>
        <w:t xml:space="preserve">Izmjene i dopune </w:t>
      </w:r>
      <w:bookmarkStart w:id="39" w:name="_Toc62727861"/>
      <w:bookmarkStart w:id="40" w:name="_GoBack4"/>
      <w:r>
        <w:rPr>
          <w:rFonts w:eastAsia="Calibri" w:cs="Times New Roman" w:ascii="Times New Roman" w:hAnsi="Times New Roman"/>
          <w:b/>
          <w:szCs w:val="24"/>
          <w:lang w:val="hr-HR"/>
        </w:rPr>
        <w:t>Program</w:t>
      </w:r>
      <w:r>
        <w:rPr>
          <w:rFonts w:eastAsia="Calibri" w:cs="Times New Roman" w:ascii="Times New Roman" w:hAnsi="Times New Roman"/>
          <w:b/>
          <w:szCs w:val="24"/>
          <w:lang w:val="hr-HR"/>
        </w:rPr>
        <w:t>a</w:t>
      </w:r>
      <w:r>
        <w:rPr>
          <w:rFonts w:eastAsia="Calibri" w:cs="Times New Roman" w:ascii="Times New Roman" w:hAnsi="Times New Roman"/>
          <w:b/>
          <w:szCs w:val="24"/>
          <w:lang w:val="hr-HR"/>
        </w:rPr>
        <w:t xml:space="preserve"> protupožarne i civilne zaštite za 2026. godinu</w:t>
      </w:r>
      <w:bookmarkEnd w:id="39"/>
      <w:bookmarkEnd w:id="40"/>
    </w:p>
    <w:p>
      <w:pPr>
        <w:pStyle w:val="Normal"/>
        <w:bidi w:val="0"/>
        <w:jc w:val="center"/>
        <w:rPr>
          <w:rFonts w:ascii="Times New Roman" w:hAnsi="Times New Roman" w:eastAsia="Calibri" w:cs="Times New Roman"/>
          <w:b/>
          <w:b/>
          <w:szCs w:val="24"/>
          <w:lang w:val="hr-HR"/>
        </w:rPr>
      </w:pPr>
      <w:r>
        <w:rPr>
          <w:rFonts w:eastAsia="Calibri" w:cs="Times New Roman" w:ascii="Times New Roman" w:hAnsi="Times New Roman"/>
          <w:b/>
          <w:szCs w:val="24"/>
          <w:lang w:val="hr-HR"/>
        </w:rPr>
      </w:r>
    </w:p>
    <w:p>
      <w:pPr>
        <w:pStyle w:val="Normal"/>
        <w:bidi w:val="0"/>
        <w:jc w:val="center"/>
        <w:rPr>
          <w:rFonts w:ascii="Times New Roman" w:hAnsi="Times New Roman"/>
        </w:rPr>
      </w:pPr>
      <w:r>
        <w:rPr>
          <w:rFonts w:eastAsia="Calibri" w:cs="Times New Roman" w:ascii="Times New Roman" w:hAnsi="Times New Roman"/>
          <w:b/>
          <w:szCs w:val="24"/>
          <w:lang w:val="hr-HR"/>
        </w:rPr>
        <w:t>I</w:t>
      </w:r>
    </w:p>
    <w:p>
      <w:pPr>
        <w:pStyle w:val="Normal"/>
        <w:bidi w:val="0"/>
        <w:jc w:val="both"/>
        <w:rPr>
          <w:rFonts w:ascii="Times New Roman" w:hAnsi="Times New Roman"/>
        </w:rPr>
      </w:pPr>
      <w:r>
        <w:rPr>
          <w:rFonts w:eastAsia="Calibri" w:cs="Times New Roman" w:ascii="Times New Roman" w:hAnsi="Times New Roman"/>
          <w:b/>
          <w:szCs w:val="24"/>
          <w:lang w:val="hr-HR"/>
        </w:rPr>
        <w:tab/>
      </w:r>
      <w:r>
        <w:rPr>
          <w:rFonts w:eastAsia="Calibri" w:cs="Times New Roman" w:ascii="Times New Roman" w:hAnsi="Times New Roman"/>
          <w:b w:val="false"/>
          <w:bCs w:val="false"/>
          <w:szCs w:val="24"/>
          <w:lang w:val="hr-HR"/>
        </w:rPr>
        <w:t>Mijenja se točka I. Programa protupožarne i civilne zaštite za 2026. godinu („Službeni glasnik Općine Negoslavci” broj 11/25):</w:t>
      </w:r>
    </w:p>
    <w:p>
      <w:pPr>
        <w:pStyle w:val="Normal"/>
        <w:bidi w:val="0"/>
        <w:jc w:val="both"/>
        <w:rPr>
          <w:rFonts w:ascii="Times New Roman" w:hAnsi="Times New Roman"/>
        </w:rPr>
      </w:pPr>
      <w:r>
        <w:rPr>
          <w:rFonts w:eastAsia="Calibri" w:cs="Times New Roman" w:ascii="Times New Roman" w:hAnsi="Times New Roman"/>
          <w:b w:val="false"/>
          <w:bCs w:val="false"/>
          <w:szCs w:val="24"/>
          <w:lang w:val="hr-HR"/>
        </w:rPr>
        <w:tab/>
        <w:t>„Sukladno točki I Program javnih potreba u protupožarnoj i civilnoj zaštiti obuhvaća slijedeće aktivnosti:</w:t>
      </w:r>
    </w:p>
    <w:p>
      <w:pPr>
        <w:pStyle w:val="Normal"/>
        <w:bidi w:val="0"/>
        <w:jc w:val="both"/>
        <w:rPr>
          <w:rFonts w:ascii="Times New Roman" w:hAnsi="Times New Roman"/>
        </w:rPr>
      </w:pPr>
      <w:r>
        <w:rPr>
          <w:rFonts w:eastAsia="Calibri" w:cs="Times New Roman" w:ascii="Times New Roman" w:hAnsi="Times New Roman"/>
          <w:color w:val="000000"/>
          <w:szCs w:val="24"/>
          <w:lang w:val="hr-HR"/>
        </w:rPr>
        <w:t xml:space="preserve">Protupožarna zaštita                                                                                </w:t>
      </w:r>
      <w:r>
        <w:rPr>
          <w:rFonts w:eastAsia="Calibri" w:cs="Times New Roman" w:ascii="Times New Roman" w:hAnsi="Times New Roman"/>
          <w:color w:val="000000"/>
          <w:szCs w:val="24"/>
          <w:lang w:val="hr-HR"/>
        </w:rPr>
        <w:t>8</w:t>
      </w:r>
      <w:r>
        <w:rPr>
          <w:rFonts w:eastAsia="Calibri" w:cs="Times New Roman" w:ascii="Times New Roman" w:hAnsi="Times New Roman"/>
          <w:color w:val="000000"/>
          <w:szCs w:val="24"/>
          <w:lang w:val="hr-HR"/>
        </w:rPr>
        <w:t>.6</w:t>
      </w:r>
      <w:r>
        <w:rPr>
          <w:rFonts w:eastAsia="Calibri" w:cs="Times New Roman" w:ascii="Times New Roman" w:hAnsi="Times New Roman"/>
          <w:color w:val="000000"/>
          <w:szCs w:val="24"/>
          <w:lang w:val="hr-HR"/>
        </w:rPr>
        <w:t>41</w:t>
      </w:r>
      <w:r>
        <w:rPr>
          <w:rFonts w:eastAsia="Calibri" w:cs="Times New Roman" w:ascii="Times New Roman" w:hAnsi="Times New Roman"/>
          <w:color w:val="000000"/>
          <w:szCs w:val="24"/>
          <w:lang w:val="hr-HR"/>
        </w:rPr>
        <w:t>,00 EUR</w:t>
      </w:r>
    </w:p>
    <w:p>
      <w:pPr>
        <w:pStyle w:val="Normal"/>
        <w:bidi w:val="0"/>
        <w:jc w:val="both"/>
        <w:rPr>
          <w:color w:val="000000"/>
        </w:rPr>
      </w:pPr>
      <w:r>
        <w:rPr>
          <w:rFonts w:eastAsia="Calibri" w:cs="Times New Roman" w:ascii="Times New Roman" w:hAnsi="Times New Roman"/>
          <w:color w:val="000000"/>
          <w:szCs w:val="24"/>
          <w:lang w:val="hr-HR"/>
        </w:rPr>
        <w:t>Civilna zaštita                                                                                          1.330,00 EUR</w:t>
      </w:r>
    </w:p>
    <w:p>
      <w:pPr>
        <w:pStyle w:val="Normal"/>
        <w:bidi w:val="0"/>
        <w:jc w:val="both"/>
        <w:rPr>
          <w:rFonts w:ascii="Times New Roman" w:hAnsi="Times New Roman" w:eastAsia="Calibri" w:cs="Times New Roman"/>
          <w:color w:val="000000"/>
          <w:szCs w:val="24"/>
          <w:lang w:val="hr-HR"/>
        </w:rPr>
      </w:pPr>
      <w:r>
        <w:rPr>
          <w:rFonts w:eastAsia="Calibri" w:cs="Times New Roman" w:ascii="Times New Roman" w:hAnsi="Times New Roman"/>
          <w:color w:val="000000"/>
          <w:szCs w:val="24"/>
          <w:lang w:val="hr-HR"/>
        </w:rPr>
      </w:r>
    </w:p>
    <w:p>
      <w:pPr>
        <w:pStyle w:val="Normal"/>
        <w:bidi w:val="0"/>
        <w:jc w:val="both"/>
        <w:rPr>
          <w:rFonts w:ascii="Times New Roman" w:hAnsi="Times New Roman"/>
        </w:rPr>
      </w:pPr>
      <w:r>
        <w:rPr>
          <w:rFonts w:eastAsia="Calibri" w:cs="Times New Roman" w:ascii="Times New Roman" w:hAnsi="Times New Roman"/>
          <w:b/>
          <w:bCs/>
          <w:color w:val="000000"/>
          <w:szCs w:val="24"/>
          <w:lang w:val="hr-HR"/>
        </w:rPr>
        <w:t>UKUPNO:                                                                                              9.971,00 EUR”</w:t>
      </w:r>
    </w:p>
    <w:p>
      <w:pPr>
        <w:pStyle w:val="Normal"/>
        <w:bidi w:val="0"/>
        <w:jc w:val="both"/>
        <w:rPr>
          <w:rFonts w:ascii="Times New Roman" w:hAnsi="Times New Roman" w:eastAsia="Calibri" w:cs="Times New Roman"/>
          <w:szCs w:val="24"/>
          <w:lang w:val="hr-HR"/>
        </w:rPr>
      </w:pPr>
      <w:r>
        <w:rPr>
          <w:rFonts w:eastAsia="Calibri" w:cs="Times New Roman" w:ascii="Times New Roman" w:hAnsi="Times New Roman"/>
          <w:szCs w:val="24"/>
          <w:lang w:val="hr-HR"/>
        </w:rPr>
      </w:r>
    </w:p>
    <w:p>
      <w:pPr>
        <w:pStyle w:val="Normal"/>
        <w:bidi w:val="0"/>
        <w:jc w:val="center"/>
        <w:rPr>
          <w:rFonts w:ascii="Times New Roman" w:hAnsi="Times New Roman"/>
        </w:rPr>
      </w:pPr>
      <w:r>
        <w:rPr>
          <w:rFonts w:eastAsia="Calibri" w:cs="Times New Roman" w:ascii="Times New Roman" w:hAnsi="Times New Roman"/>
          <w:b/>
          <w:szCs w:val="24"/>
          <w:lang w:val="hr-HR"/>
        </w:rPr>
        <w:t>II</w:t>
      </w:r>
    </w:p>
    <w:p>
      <w:pPr>
        <w:pStyle w:val="Normal"/>
        <w:bidi w:val="0"/>
        <w:jc w:val="left"/>
        <w:rPr>
          <w:rFonts w:ascii="Times New Roman" w:hAnsi="Times New Roman"/>
        </w:rPr>
      </w:pPr>
      <w:r>
        <w:rPr>
          <w:rFonts w:eastAsia="Calibri" w:cs="Times New Roman" w:ascii="Times New Roman" w:hAnsi="Times New Roman"/>
          <w:szCs w:val="24"/>
          <w:lang w:val="hr-HR"/>
        </w:rPr>
        <w:tab/>
      </w:r>
      <w:r>
        <w:rPr>
          <w:rFonts w:eastAsia="Calibri" w:cs="Times New Roman" w:ascii="Times New Roman" w:hAnsi="Times New Roman"/>
          <w:szCs w:val="24"/>
          <w:lang w:val="hr-HR"/>
        </w:rPr>
        <w:t>Ostale odredbe Programa se ne mijenjaju, niti se dopunjuju.</w:t>
      </w:r>
    </w:p>
    <w:p>
      <w:pPr>
        <w:pStyle w:val="Normal"/>
        <w:tabs>
          <w:tab w:val="clear" w:pos="709"/>
          <w:tab w:val="center" w:pos="8931" w:leader="none"/>
        </w:tabs>
        <w:bidi w:val="0"/>
        <w:ind w:left="426" w:hanging="0"/>
        <w:jc w:val="left"/>
        <w:rPr>
          <w:rFonts w:ascii="Times New Roman" w:hAnsi="Times New Roman" w:eastAsia="Calibri" w:cs="Times New Roman"/>
          <w:b/>
          <w:b/>
          <w:szCs w:val="24"/>
          <w:lang w:val="hr-HR"/>
        </w:rPr>
      </w:pPr>
      <w:r>
        <w:rPr>
          <w:rFonts w:eastAsia="Calibri" w:cs="Times New Roman" w:ascii="Times New Roman" w:hAnsi="Times New Roman"/>
          <w:b/>
          <w:szCs w:val="24"/>
          <w:lang w:val="hr-HR"/>
        </w:rPr>
      </w:r>
    </w:p>
    <w:p>
      <w:pPr>
        <w:pStyle w:val="Normal"/>
        <w:bidi w:val="0"/>
        <w:jc w:val="center"/>
        <w:rPr>
          <w:rFonts w:ascii="Times New Roman" w:hAnsi="Times New Roman"/>
        </w:rPr>
      </w:pPr>
      <w:r>
        <w:rPr>
          <w:rFonts w:eastAsia="Calibri" w:cs="Times New Roman" w:ascii="Times New Roman" w:hAnsi="Times New Roman"/>
          <w:b/>
          <w:szCs w:val="24"/>
          <w:lang w:val="hr-HR"/>
        </w:rPr>
        <w:t>III</w:t>
      </w:r>
    </w:p>
    <w:p>
      <w:pPr>
        <w:pStyle w:val="Normal"/>
        <w:bidi w:val="0"/>
        <w:ind w:firstLine="708"/>
        <w:jc w:val="both"/>
        <w:rPr>
          <w:rFonts w:ascii="Times New Roman" w:hAnsi="Times New Roman"/>
        </w:rPr>
      </w:pPr>
      <w:r>
        <w:rPr>
          <w:rFonts w:eastAsia="Calibri" w:cs="Times New Roman" w:ascii="Times New Roman" w:hAnsi="Times New Roman"/>
          <w:szCs w:val="24"/>
          <w:lang w:val="hr-HR"/>
        </w:rPr>
        <w:t>Ov</w:t>
      </w:r>
      <w:r>
        <w:rPr>
          <w:rFonts w:eastAsia="Calibri" w:cs="Times New Roman" w:ascii="Times New Roman" w:hAnsi="Times New Roman"/>
          <w:szCs w:val="24"/>
          <w:lang w:val="hr-HR"/>
        </w:rPr>
        <w:t>e Izmjene i dopune</w:t>
      </w:r>
      <w:r>
        <w:rPr>
          <w:rFonts w:eastAsia="Calibri" w:cs="Times New Roman" w:ascii="Times New Roman" w:hAnsi="Times New Roman"/>
          <w:szCs w:val="24"/>
          <w:lang w:val="hr-HR"/>
        </w:rPr>
        <w:t xml:space="preserve"> Program</w:t>
      </w:r>
      <w:r>
        <w:rPr>
          <w:rFonts w:eastAsia="Calibri" w:cs="Times New Roman" w:ascii="Times New Roman" w:hAnsi="Times New Roman"/>
          <w:szCs w:val="24"/>
          <w:lang w:val="hr-HR"/>
        </w:rPr>
        <w:t>a</w:t>
      </w:r>
      <w:r>
        <w:rPr>
          <w:rFonts w:eastAsia="Calibri" w:cs="Times New Roman" w:ascii="Times New Roman" w:hAnsi="Times New Roman"/>
          <w:szCs w:val="24"/>
          <w:lang w:val="hr-HR"/>
        </w:rPr>
        <w:t xml:space="preserve"> stupa</w:t>
      </w:r>
      <w:r>
        <w:rPr>
          <w:rFonts w:eastAsia="Calibri" w:cs="Times New Roman" w:ascii="Times New Roman" w:hAnsi="Times New Roman"/>
          <w:szCs w:val="24"/>
          <w:lang w:val="hr-HR"/>
        </w:rPr>
        <w:t>ju</w:t>
      </w:r>
      <w:r>
        <w:rPr>
          <w:rFonts w:eastAsia="Calibri" w:cs="Times New Roman" w:ascii="Times New Roman" w:hAnsi="Times New Roman"/>
          <w:szCs w:val="24"/>
          <w:lang w:val="hr-HR"/>
        </w:rPr>
        <w:t xml:space="preserve"> na snagu dan nakon dana objave u Službenom glasniku Općine Negoslavci.</w:t>
      </w:r>
    </w:p>
    <w:p>
      <w:pPr>
        <w:pStyle w:val="Normal"/>
        <w:bidi w:val="0"/>
        <w:jc w:val="both"/>
        <w:rPr>
          <w:rFonts w:ascii="Times New Roman" w:hAnsi="Times New Roman" w:eastAsia="Calibri" w:cs="Times New Roman"/>
          <w:szCs w:val="24"/>
          <w:lang w:val="hr-HR"/>
        </w:rPr>
      </w:pPr>
      <w:r>
        <w:rPr>
          <w:rFonts w:eastAsia="Calibri" w:cs="Times New Roman" w:ascii="Times New Roman" w:hAnsi="Times New Roman"/>
          <w:szCs w:val="24"/>
          <w:lang w:val="hr-HR"/>
        </w:rPr>
      </w:r>
    </w:p>
    <w:p>
      <w:pPr>
        <w:pStyle w:val="Normal"/>
        <w:bidi w:val="0"/>
        <w:jc w:val="both"/>
        <w:rPr>
          <w:b w:val="false"/>
          <w:b w:val="false"/>
          <w:bCs w:val="false"/>
        </w:rPr>
      </w:pPr>
      <w:r>
        <w:rPr>
          <w:rFonts w:eastAsia="Calibri" w:cs="Times New Roman" w:ascii="Times New Roman" w:hAnsi="Times New Roman"/>
          <w:b w:val="false"/>
          <w:bCs w:val="false"/>
          <w:szCs w:val="24"/>
          <w:lang w:val="hr-HR"/>
        </w:rPr>
        <w:t>K</w:t>
      </w:r>
      <w:r>
        <w:rPr>
          <w:rFonts w:eastAsia="Calibri" w:cs="Times New Roman" w:ascii="Times New Roman" w:hAnsi="Times New Roman"/>
          <w:b w:val="false"/>
          <w:bCs w:val="false"/>
          <w:color w:val="000000"/>
          <w:szCs w:val="24"/>
          <w:lang w:val="hr-HR"/>
        </w:rPr>
        <w:t>LASA: 400-0</w:t>
      </w:r>
      <w:r>
        <w:rPr>
          <w:rFonts w:eastAsia="Calibri" w:cs="Times New Roman" w:ascii="Times New Roman" w:hAnsi="Times New Roman"/>
          <w:b w:val="false"/>
          <w:bCs w:val="false"/>
          <w:color w:val="000000"/>
        </w:rPr>
        <w:t>2/25-01/01</w:t>
      </w:r>
    </w:p>
    <w:p>
      <w:pPr>
        <w:pStyle w:val="Normal"/>
        <w:bidi w:val="0"/>
        <w:jc w:val="both"/>
        <w:rPr>
          <w:b w:val="false"/>
          <w:b w:val="false"/>
          <w:bCs w:val="false"/>
        </w:rPr>
      </w:pPr>
      <w:r>
        <w:rPr>
          <w:rFonts w:eastAsia="Calibri" w:cs="Times New Roman" w:ascii="Times New Roman" w:hAnsi="Times New Roman"/>
          <w:b w:val="false"/>
          <w:bCs w:val="false"/>
          <w:color w:val="000000"/>
          <w:szCs w:val="24"/>
          <w:lang w:val="hr-HR"/>
        </w:rPr>
        <w:t>URBROJ: 2196-19-02-2</w:t>
      </w:r>
      <w:r>
        <w:rPr>
          <w:rFonts w:eastAsia="Calibri" w:cs="Times New Roman" w:ascii="Times New Roman" w:hAnsi="Times New Roman"/>
          <w:b w:val="false"/>
          <w:bCs w:val="false"/>
          <w:color w:val="000000"/>
          <w:szCs w:val="24"/>
          <w:lang w:val="hr-HR"/>
        </w:rPr>
        <w:t>6</w:t>
      </w:r>
      <w:r>
        <w:rPr>
          <w:rFonts w:eastAsia="Calibri" w:cs="Times New Roman" w:ascii="Times New Roman" w:hAnsi="Times New Roman"/>
          <w:b w:val="false"/>
          <w:bCs w:val="false"/>
          <w:color w:val="000000"/>
          <w:szCs w:val="24"/>
          <w:lang w:val="hr-HR"/>
        </w:rPr>
        <w:t>-</w:t>
      </w:r>
      <w:r>
        <w:rPr>
          <w:rFonts w:eastAsia="Calibri" w:cs="Times New Roman" w:ascii="Times New Roman" w:hAnsi="Times New Roman"/>
          <w:b w:val="false"/>
          <w:bCs w:val="false"/>
          <w:color w:val="000000"/>
          <w:szCs w:val="24"/>
          <w:lang w:val="hr-HR"/>
        </w:rPr>
        <w:t>28</w:t>
      </w:r>
    </w:p>
    <w:p>
      <w:pPr>
        <w:pStyle w:val="Normal"/>
        <w:bidi w:val="0"/>
        <w:jc w:val="both"/>
        <w:rPr>
          <w:rFonts w:ascii="Times New Roman" w:hAnsi="Times New Roman"/>
        </w:rPr>
      </w:pPr>
      <w:r>
        <w:rPr>
          <w:b w:val="false"/>
          <w:bCs w:val="false"/>
          <w:color w:val="000000"/>
        </w:rPr>
        <w:t>Negoslavci, 2</w:t>
      </w:r>
      <w:r>
        <w:rPr>
          <w:b w:val="false"/>
          <w:bCs w:val="false"/>
          <w:color w:val="000000"/>
        </w:rPr>
        <w:t>5</w:t>
      </w:r>
      <w:r>
        <w:rPr>
          <w:b w:val="false"/>
          <w:bCs w:val="false"/>
          <w:color w:val="000000"/>
        </w:rPr>
        <w:t xml:space="preserve">. </w:t>
      </w:r>
      <w:r>
        <w:rPr>
          <w:b w:val="false"/>
          <w:bCs w:val="false"/>
          <w:color w:val="000000"/>
        </w:rPr>
        <w:t>lipnja</w:t>
      </w:r>
      <w:r>
        <w:rPr>
          <w:b w:val="false"/>
          <w:bCs w:val="false"/>
          <w:color w:val="000000"/>
        </w:rPr>
        <w:t xml:space="preserve"> 202</w:t>
      </w:r>
      <w:r>
        <w:rPr>
          <w:b w:val="false"/>
          <w:bCs w:val="false"/>
          <w:color w:val="000000"/>
        </w:rPr>
        <w:t>6</w:t>
      </w:r>
      <w:r>
        <w:rPr>
          <w:b w:val="false"/>
          <w:bCs w:val="false"/>
          <w:color w:val="000000"/>
        </w:rPr>
        <w:t>.</w:t>
      </w:r>
      <w:r>
        <w:rPr>
          <w:color w:val="000000"/>
        </w:rPr>
        <w:t xml:space="preserve"> </w:t>
      </w:r>
    </w:p>
    <w:p>
      <w:pPr>
        <w:pStyle w:val="Normal"/>
        <w:bidi w:val="0"/>
        <w:jc w:val="right"/>
        <w:rPr>
          <w:rFonts w:ascii="Times New Roman" w:hAnsi="Times New Roman" w:eastAsia="Calibri" w:cs="Times New Roman"/>
          <w:b/>
          <w:b/>
          <w:szCs w:val="24"/>
          <w:lang w:val="hr-HR"/>
        </w:rPr>
      </w:pPr>
      <w:r>
        <w:rPr>
          <w:rFonts w:eastAsia="Calibri" w:cs="Times New Roman" w:ascii="Times New Roman" w:hAnsi="Times New Roman"/>
          <w:b/>
          <w:szCs w:val="24"/>
          <w:lang w:val="hr-HR"/>
        </w:rPr>
      </w:r>
    </w:p>
    <w:p>
      <w:pPr>
        <w:pStyle w:val="Normal"/>
        <w:bidi w:val="0"/>
        <w:jc w:val="center"/>
        <w:rPr/>
      </w:pPr>
      <w:r>
        <w:rPr>
          <w:rFonts w:eastAsia="Calibri" w:cs="Times New Roman" w:ascii="Times New Roman" w:hAnsi="Times New Roman"/>
          <w:b/>
          <w:szCs w:val="24"/>
          <w:lang w:val="hr-HR"/>
        </w:rPr>
        <w:t>PREDSJEDNIK OPĆINSKOG VIJEĆA</w:t>
      </w:r>
    </w:p>
    <w:p>
      <w:pPr>
        <w:pStyle w:val="Normal"/>
        <w:bidi w:val="0"/>
        <w:jc w:val="center"/>
        <w:rPr/>
      </w:pPr>
      <w:r>
        <w:rPr>
          <w:rFonts w:eastAsia="Calibri" w:cs="Times New Roman" w:ascii="Times New Roman" w:hAnsi="Times New Roman"/>
          <w:szCs w:val="24"/>
          <w:lang w:val="hr-HR"/>
        </w:rPr>
        <w:t>Miodrag Mišanović</w:t>
      </w:r>
    </w:p>
    <w:p>
      <w:pPr>
        <w:pStyle w:val="Normal"/>
        <w:bidi w:val="0"/>
        <w:jc w:val="center"/>
        <w:rPr/>
      </w:pPr>
      <w:r>
        <w:rPr/>
        <w:drawing>
          <wp:inline distT="0" distB="0" distL="0" distR="0">
            <wp:extent cx="5761355" cy="36830"/>
            <wp:effectExtent l="0" t="0" r="0" b="0"/>
            <wp:docPr id="8" name="Slika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12" descr=""/>
                    <pic:cNvPicPr>
                      <a:picLocks noChangeAspect="1" noChangeArrowheads="1"/>
                    </pic:cNvPicPr>
                  </pic:nvPicPr>
                  <pic:blipFill>
                    <a:blip r:embed="rId33"/>
                    <a:stretch>
                      <a:fillRect/>
                    </a:stretch>
                  </pic:blipFill>
                  <pic:spPr bwMode="auto">
                    <a:xfrm>
                      <a:off x="0" y="0"/>
                      <a:ext cx="5761355" cy="36830"/>
                    </a:xfrm>
                    <a:prstGeom prst="rect">
                      <a:avLst/>
                    </a:prstGeom>
                  </pic:spPr>
                </pic:pic>
              </a:graphicData>
            </a:graphic>
          </wp:inline>
        </w:drawing>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
    </w:p>
    <w:p>
      <w:pPr>
        <w:pStyle w:val="Normal"/>
        <w:jc w:val="both"/>
        <w:rPr>
          <w:rFonts w:ascii="Times New Roman" w:hAnsi="Times New Roman"/>
        </w:rPr>
      </w:pPr>
      <w:r>
        <w:rPr>
          <w:rFonts w:ascii="Times New Roman" w:hAnsi="Times New Roman"/>
          <w:sz w:val="24"/>
          <w:szCs w:val="24"/>
          <w:lang w:val="hr-HR"/>
        </w:rPr>
        <w:tab/>
        <w:t>Na temelju članka 82. stavak 2. Pravilnika o proračunskom računovodstvu i računskom planu ("Narodne novine" broj 124/14, 115/15, 87/16, 3/18 i 126/19.) i članka 19., stavka 1., točke 2. Statuta Općine Negoslavci („Službeni glasnik Općine Negoslavci“ broj 04/25), Općinsko vijeće na svojoj redovnoj sjednici dana  25. lipnja 2026. godine donosi</w:t>
      </w:r>
    </w:p>
    <w:p>
      <w:pPr>
        <w:pStyle w:val="Normal"/>
        <w:rPr>
          <w:rFonts w:ascii="Times New Roman" w:hAnsi="Times New Roman"/>
          <w:sz w:val="24"/>
          <w:szCs w:val="24"/>
          <w:lang w:val="hr-HR"/>
        </w:rPr>
      </w:pPr>
      <w:r>
        <w:rPr>
          <w:rFonts w:ascii="Times New Roman" w:hAnsi="Times New Roman"/>
          <w:sz w:val="24"/>
          <w:szCs w:val="24"/>
          <w:lang w:val="hr-HR"/>
        </w:rPr>
      </w:r>
    </w:p>
    <w:p>
      <w:pPr>
        <w:pStyle w:val="Normal"/>
        <w:jc w:val="center"/>
        <w:rPr>
          <w:rFonts w:ascii="Times New Roman" w:hAnsi="Times New Roman"/>
        </w:rPr>
      </w:pPr>
      <w:bookmarkStart w:id="41" w:name="_Toc71010423"/>
      <w:r>
        <w:rPr>
          <w:rFonts w:ascii="Times New Roman" w:hAnsi="Times New Roman"/>
          <w:b/>
          <w:bCs/>
          <w:sz w:val="24"/>
          <w:szCs w:val="24"/>
        </w:rPr>
        <w:t>O D L U K U</w:t>
      </w:r>
      <w:bookmarkEnd w:id="41"/>
    </w:p>
    <w:p>
      <w:pPr>
        <w:pStyle w:val="Normal"/>
        <w:jc w:val="center"/>
        <w:rPr>
          <w:rFonts w:ascii="Times New Roman" w:hAnsi="Times New Roman"/>
        </w:rPr>
      </w:pPr>
      <w:bookmarkStart w:id="42" w:name="_Toc71010424"/>
      <w:r>
        <w:rPr>
          <w:rFonts w:ascii="Times New Roman" w:hAnsi="Times New Roman"/>
          <w:b/>
          <w:bCs/>
          <w:sz w:val="24"/>
          <w:szCs w:val="24"/>
        </w:rPr>
        <w:t>o raspodjeli rezultata poslovanja 2025. godine</w:t>
      </w:r>
      <w:bookmarkEnd w:id="42"/>
    </w:p>
    <w:p>
      <w:pPr>
        <w:pStyle w:val="Normal"/>
        <w:jc w:val="center"/>
        <w:rPr>
          <w:rFonts w:ascii="Times New Roman" w:hAnsi="Times New Roman"/>
          <w:b/>
          <w:b/>
          <w:bCs/>
          <w:sz w:val="24"/>
          <w:szCs w:val="24"/>
          <w:lang w:val="hr-HR"/>
        </w:rPr>
      </w:pPr>
      <w:r>
        <w:rPr>
          <w:rFonts w:ascii="Times New Roman" w:hAnsi="Times New Roman"/>
          <w:b/>
          <w:bCs/>
          <w:sz w:val="24"/>
          <w:szCs w:val="24"/>
          <w:lang w:val="hr-HR"/>
        </w:rPr>
      </w:r>
    </w:p>
    <w:p>
      <w:pPr>
        <w:pStyle w:val="Normal"/>
        <w:jc w:val="center"/>
        <w:rPr>
          <w:rFonts w:ascii="Times New Roman" w:hAnsi="Times New Roman"/>
        </w:rPr>
      </w:pPr>
      <w:r>
        <w:rPr>
          <w:rFonts w:ascii="Times New Roman" w:hAnsi="Times New Roman"/>
          <w:b/>
          <w:sz w:val="24"/>
          <w:szCs w:val="24"/>
          <w:lang w:val="hr-HR"/>
        </w:rPr>
        <w:t>Članak 1.</w:t>
      </w:r>
    </w:p>
    <w:p>
      <w:pPr>
        <w:pStyle w:val="Normal"/>
        <w:jc w:val="both"/>
        <w:rPr>
          <w:rFonts w:ascii="Times New Roman" w:hAnsi="Times New Roman"/>
        </w:rPr>
      </w:pPr>
      <w:r>
        <w:rPr>
          <w:rFonts w:ascii="Times New Roman" w:hAnsi="Times New Roman"/>
          <w:sz w:val="24"/>
          <w:szCs w:val="24"/>
          <w:lang w:val="hr-HR"/>
        </w:rPr>
        <w:tab/>
        <w:t xml:space="preserve">Ovom Odlukom utvrđuje se rezultat poslovanja, raspodjela rezultata, te način utroška viška prihoda utvrđenog Godišnjim izvještajem o izvršenju Proračuna Općine Negoslavci za 2025. godinu. </w:t>
      </w:r>
    </w:p>
    <w:p>
      <w:pPr>
        <w:pStyle w:val="Normal"/>
        <w:jc w:val="both"/>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b/>
          <w:sz w:val="24"/>
          <w:szCs w:val="24"/>
          <w:lang w:val="hr-HR"/>
        </w:rPr>
        <w:t>Članak 2.</w:t>
      </w:r>
    </w:p>
    <w:p>
      <w:pPr>
        <w:pStyle w:val="Normal"/>
        <w:jc w:val="both"/>
        <w:rPr>
          <w:rFonts w:ascii="Times New Roman" w:hAnsi="Times New Roman"/>
        </w:rPr>
      </w:pPr>
      <w:r>
        <w:rPr>
          <w:rFonts w:ascii="Times New Roman" w:hAnsi="Times New Roman"/>
          <w:sz w:val="24"/>
          <w:szCs w:val="24"/>
          <w:lang w:val="hr-HR"/>
        </w:rPr>
        <w:tab/>
        <w:t>Financijski rezultat Proračuna Općine Negoslavci za 2025. godinu, rezultat je sljedećih pokazatelja:</w:t>
      </w:r>
    </w:p>
    <w:tbl>
      <w:tblPr>
        <w:tblW w:w="982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836"/>
        <w:gridCol w:w="4989"/>
      </w:tblGrid>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sz w:val="24"/>
                <w:szCs w:val="24"/>
                <w:lang w:val="hr-HR"/>
              </w:rPr>
              <w:t>Prihodi poslovanja (6)</w:t>
            </w:r>
          </w:p>
        </w:tc>
        <w:tc>
          <w:tcPr>
            <w:tcW w:w="4989" w:type="dxa"/>
            <w:tcBorders/>
          </w:tcPr>
          <w:p>
            <w:pPr>
              <w:pStyle w:val="Normal"/>
              <w:widowControl w:val="false"/>
              <w:jc w:val="both"/>
              <w:rPr>
                <w:rFonts w:ascii="Times New Roman" w:hAnsi="Times New Roman"/>
              </w:rPr>
            </w:pPr>
            <w:r>
              <w:rPr>
                <w:rFonts w:ascii="Times New Roman" w:hAnsi="Times New Roman"/>
                <w:sz w:val="24"/>
                <w:szCs w:val="24"/>
                <w:lang w:val="hr-HR"/>
              </w:rPr>
              <w:t>1.048.774,94</w:t>
            </w:r>
          </w:p>
        </w:tc>
      </w:tr>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sz w:val="24"/>
                <w:szCs w:val="24"/>
                <w:lang w:val="hr-HR"/>
              </w:rPr>
              <w:t>Rashodi poslovanja (3)</w:t>
            </w:r>
          </w:p>
        </w:tc>
        <w:tc>
          <w:tcPr>
            <w:tcW w:w="4989" w:type="dxa"/>
            <w:tcBorders/>
          </w:tcPr>
          <w:p>
            <w:pPr>
              <w:pStyle w:val="Normal"/>
              <w:widowControl w:val="false"/>
              <w:jc w:val="both"/>
              <w:rPr>
                <w:rFonts w:ascii="Times New Roman" w:hAnsi="Times New Roman"/>
              </w:rPr>
            </w:pPr>
            <w:r>
              <w:rPr>
                <w:rFonts w:ascii="Times New Roman" w:hAnsi="Times New Roman"/>
                <w:sz w:val="24"/>
                <w:szCs w:val="24"/>
                <w:lang w:val="hr-HR"/>
              </w:rPr>
              <w:t xml:space="preserve">   </w:t>
            </w:r>
            <w:r>
              <w:rPr>
                <w:rFonts w:ascii="Times New Roman" w:hAnsi="Times New Roman"/>
                <w:sz w:val="24"/>
                <w:szCs w:val="24"/>
                <w:lang w:val="hr-HR"/>
              </w:rPr>
              <w:t>916.346,81</w:t>
            </w:r>
          </w:p>
        </w:tc>
      </w:tr>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b/>
                <w:bCs/>
                <w:i/>
                <w:iCs/>
                <w:sz w:val="24"/>
                <w:szCs w:val="24"/>
                <w:u w:val="single"/>
                <w:lang w:val="hr-HR"/>
              </w:rPr>
              <w:t>Višak prihoda poslovanja</w:t>
            </w:r>
          </w:p>
        </w:tc>
        <w:tc>
          <w:tcPr>
            <w:tcW w:w="4989" w:type="dxa"/>
            <w:tcBorders/>
          </w:tcPr>
          <w:p>
            <w:pPr>
              <w:pStyle w:val="Normal"/>
              <w:widowControl w:val="false"/>
              <w:ind w:left="29" w:hanging="0"/>
              <w:jc w:val="both"/>
              <w:rPr>
                <w:rFonts w:ascii="Times New Roman" w:hAnsi="Times New Roman"/>
              </w:rPr>
            </w:pPr>
            <w:r>
              <w:rPr>
                <w:rFonts w:ascii="Times New Roman" w:hAnsi="Times New Roman"/>
                <w:b/>
                <w:bCs/>
                <w:sz w:val="24"/>
                <w:szCs w:val="24"/>
                <w:u w:val="single"/>
                <w:lang w:val="hr-HR"/>
              </w:rPr>
              <w:t xml:space="preserve">  </w:t>
            </w:r>
            <w:r>
              <w:rPr>
                <w:rFonts w:ascii="Times New Roman" w:hAnsi="Times New Roman"/>
                <w:b/>
                <w:bCs/>
                <w:sz w:val="24"/>
                <w:szCs w:val="24"/>
                <w:u w:val="single"/>
                <w:lang w:val="hr-HR"/>
              </w:rPr>
              <w:t>132.428,13</w:t>
            </w:r>
          </w:p>
        </w:tc>
      </w:tr>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sz w:val="24"/>
                <w:szCs w:val="24"/>
                <w:lang w:val="hr-HR"/>
              </w:rPr>
              <w:t>Prihodi od prodaje nefinancijske imovine (7)</w:t>
            </w:r>
          </w:p>
        </w:tc>
        <w:tc>
          <w:tcPr>
            <w:tcW w:w="4989" w:type="dxa"/>
            <w:tcBorders/>
          </w:tcPr>
          <w:p>
            <w:pPr>
              <w:pStyle w:val="Normal"/>
              <w:widowControl w:val="false"/>
              <w:jc w:val="both"/>
              <w:rPr>
                <w:rFonts w:ascii="Times New Roman" w:hAnsi="Times New Roman"/>
              </w:rPr>
            </w:pPr>
            <w:r>
              <w:rPr>
                <w:rFonts w:ascii="Times New Roman" w:hAnsi="Times New Roman"/>
                <w:sz w:val="24"/>
                <w:szCs w:val="24"/>
                <w:lang w:val="hr-HR"/>
              </w:rPr>
              <w:t xml:space="preserve">              </w:t>
            </w:r>
            <w:r>
              <w:rPr>
                <w:rFonts w:ascii="Times New Roman" w:hAnsi="Times New Roman"/>
                <w:sz w:val="24"/>
                <w:szCs w:val="24"/>
                <w:lang w:val="hr-HR"/>
              </w:rPr>
              <w:t>0,00</w:t>
            </w:r>
          </w:p>
        </w:tc>
      </w:tr>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sz w:val="24"/>
                <w:szCs w:val="24"/>
                <w:lang w:val="hr-HR"/>
              </w:rPr>
              <w:t>Rashodi za nabavu nefinancijske imovine (4)</w:t>
            </w:r>
          </w:p>
        </w:tc>
        <w:tc>
          <w:tcPr>
            <w:tcW w:w="4989" w:type="dxa"/>
            <w:tcBorders/>
          </w:tcPr>
          <w:p>
            <w:pPr>
              <w:pStyle w:val="Normal"/>
              <w:widowControl w:val="false"/>
              <w:jc w:val="both"/>
              <w:rPr>
                <w:rFonts w:ascii="Times New Roman" w:hAnsi="Times New Roman"/>
              </w:rPr>
            </w:pPr>
            <w:r>
              <w:rPr>
                <w:rFonts w:ascii="Times New Roman" w:hAnsi="Times New Roman"/>
                <w:sz w:val="24"/>
                <w:szCs w:val="24"/>
                <w:lang w:val="hr-HR"/>
              </w:rPr>
              <w:t xml:space="preserve">   </w:t>
            </w:r>
            <w:r>
              <w:rPr>
                <w:rFonts w:ascii="Times New Roman" w:hAnsi="Times New Roman"/>
                <w:sz w:val="24"/>
                <w:szCs w:val="24"/>
                <w:lang w:val="hr-HR"/>
              </w:rPr>
              <w:t>286.583,15</w:t>
            </w:r>
          </w:p>
        </w:tc>
      </w:tr>
      <w:tr>
        <w:trPr>
          <w:trHeight w:val="62" w:hRule="atLeast"/>
        </w:trPr>
        <w:tc>
          <w:tcPr>
            <w:tcW w:w="4836" w:type="dxa"/>
            <w:tcBorders/>
          </w:tcPr>
          <w:p>
            <w:pPr>
              <w:pStyle w:val="Normal"/>
              <w:widowControl w:val="false"/>
              <w:jc w:val="both"/>
              <w:rPr>
                <w:rFonts w:ascii="Times New Roman" w:hAnsi="Times New Roman"/>
              </w:rPr>
            </w:pPr>
            <w:r>
              <w:rPr>
                <w:rFonts w:ascii="Times New Roman" w:hAnsi="Times New Roman"/>
                <w:b/>
                <w:bCs/>
                <w:sz w:val="24"/>
                <w:szCs w:val="24"/>
                <w:u w:val="single"/>
                <w:lang w:val="hr-HR"/>
              </w:rPr>
              <w:t>Ukupni manjak prihoda od nefinancijske imovine</w:t>
            </w:r>
          </w:p>
        </w:tc>
        <w:tc>
          <w:tcPr>
            <w:tcW w:w="4989" w:type="dxa"/>
            <w:tcBorders/>
          </w:tcPr>
          <w:p>
            <w:pPr>
              <w:pStyle w:val="Normal"/>
              <w:widowControl w:val="false"/>
              <w:jc w:val="both"/>
              <w:rPr>
                <w:rFonts w:ascii="Times New Roman" w:hAnsi="Times New Roman"/>
              </w:rPr>
            </w:pPr>
            <w:r>
              <w:rPr>
                <w:rFonts w:ascii="Times New Roman" w:hAnsi="Times New Roman"/>
                <w:sz w:val="24"/>
                <w:szCs w:val="24"/>
                <w:u w:val="single"/>
              </w:rPr>
              <w:t xml:space="preserve">  </w:t>
            </w:r>
            <w:r>
              <w:rPr>
                <w:rFonts w:ascii="Times New Roman" w:hAnsi="Times New Roman"/>
                <w:sz w:val="24"/>
                <w:szCs w:val="24"/>
                <w:u w:val="single"/>
              </w:rPr>
              <w:t>-286.583,15</w:t>
            </w:r>
          </w:p>
        </w:tc>
      </w:tr>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sz w:val="24"/>
                <w:szCs w:val="24"/>
                <w:lang w:val="hr-HR"/>
              </w:rPr>
              <w:t>Primici od financijske imovine</w:t>
            </w:r>
          </w:p>
        </w:tc>
        <w:tc>
          <w:tcPr>
            <w:tcW w:w="4989" w:type="dxa"/>
            <w:tcBorders/>
          </w:tcPr>
          <w:p>
            <w:pPr>
              <w:pStyle w:val="Normal"/>
              <w:widowControl w:val="false"/>
              <w:jc w:val="both"/>
              <w:rPr>
                <w:rFonts w:ascii="Times New Roman" w:hAnsi="Times New Roman"/>
              </w:rPr>
            </w:pPr>
            <w:r>
              <w:rPr>
                <w:rFonts w:ascii="Times New Roman" w:hAnsi="Times New Roman"/>
                <w:sz w:val="24"/>
                <w:szCs w:val="24"/>
                <w:lang w:val="hr-HR"/>
              </w:rPr>
              <w:t>0,00</w:t>
            </w:r>
          </w:p>
        </w:tc>
      </w:tr>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sz w:val="24"/>
                <w:szCs w:val="24"/>
                <w:lang w:val="hr-HR"/>
              </w:rPr>
              <w:t>Izdaci za financijsku imovinu</w:t>
            </w:r>
          </w:p>
        </w:tc>
        <w:tc>
          <w:tcPr>
            <w:tcW w:w="4989" w:type="dxa"/>
            <w:tcBorders/>
          </w:tcPr>
          <w:p>
            <w:pPr>
              <w:pStyle w:val="Normal"/>
              <w:widowControl w:val="false"/>
              <w:jc w:val="both"/>
              <w:rPr>
                <w:rFonts w:ascii="Times New Roman" w:hAnsi="Times New Roman"/>
              </w:rPr>
            </w:pPr>
            <w:r>
              <w:rPr>
                <w:rFonts w:ascii="Times New Roman" w:hAnsi="Times New Roman"/>
                <w:sz w:val="24"/>
                <w:szCs w:val="24"/>
                <w:lang w:val="hr-HR"/>
              </w:rPr>
              <w:t>0,00</w:t>
            </w:r>
          </w:p>
        </w:tc>
      </w:tr>
      <w:tr>
        <w:trPr>
          <w:trHeight w:val="62" w:hRule="atLeast"/>
        </w:trPr>
        <w:tc>
          <w:tcPr>
            <w:tcW w:w="4836" w:type="dxa"/>
            <w:tcBorders/>
          </w:tcPr>
          <w:p>
            <w:pPr>
              <w:pStyle w:val="Normal"/>
              <w:widowControl w:val="false"/>
              <w:jc w:val="both"/>
              <w:rPr>
                <w:rFonts w:ascii="Times New Roman" w:hAnsi="Times New Roman"/>
              </w:rPr>
            </w:pPr>
            <w:r>
              <w:rPr>
                <w:rFonts w:ascii="Times New Roman" w:hAnsi="Times New Roman"/>
                <w:b/>
                <w:bCs/>
                <w:sz w:val="24"/>
                <w:szCs w:val="24"/>
                <w:u w:val="single"/>
                <w:lang w:val="hr-HR"/>
              </w:rPr>
              <w:t>Ukupni višak primitaka od financijske imovine</w:t>
            </w:r>
          </w:p>
        </w:tc>
        <w:tc>
          <w:tcPr>
            <w:tcW w:w="4989" w:type="dxa"/>
            <w:tcBorders/>
          </w:tcPr>
          <w:p>
            <w:pPr>
              <w:pStyle w:val="Normal"/>
              <w:widowControl w:val="false"/>
              <w:jc w:val="both"/>
              <w:rPr>
                <w:rFonts w:ascii="Times New Roman" w:hAnsi="Times New Roman"/>
              </w:rPr>
            </w:pPr>
            <w:r>
              <w:rPr>
                <w:rFonts w:ascii="Times New Roman" w:hAnsi="Times New Roman"/>
                <w:b/>
                <w:bCs/>
                <w:sz w:val="24"/>
                <w:szCs w:val="24"/>
                <w:u w:val="single"/>
                <w:lang w:val="hr-HR"/>
              </w:rPr>
              <w:t>0,00</w:t>
            </w:r>
          </w:p>
        </w:tc>
      </w:tr>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i/>
                <w:iCs/>
                <w:sz w:val="24"/>
                <w:szCs w:val="24"/>
                <w:lang w:val="hr-HR"/>
              </w:rPr>
              <w:t>Preneseni višak prihoda poslovanja</w:t>
            </w:r>
          </w:p>
        </w:tc>
        <w:tc>
          <w:tcPr>
            <w:tcW w:w="4989" w:type="dxa"/>
            <w:tcBorders/>
          </w:tcPr>
          <w:p>
            <w:pPr>
              <w:pStyle w:val="Normal"/>
              <w:widowControl w:val="false"/>
              <w:jc w:val="both"/>
              <w:rPr>
                <w:rFonts w:ascii="Times New Roman" w:hAnsi="Times New Roman"/>
              </w:rPr>
            </w:pPr>
            <w:r>
              <w:rPr>
                <w:rFonts w:ascii="Times New Roman" w:hAnsi="Times New Roman"/>
                <w:sz w:val="24"/>
                <w:szCs w:val="24"/>
                <w:lang w:val="hr-HR"/>
              </w:rPr>
              <w:t>378.010,11</w:t>
            </w:r>
          </w:p>
        </w:tc>
      </w:tr>
      <w:tr>
        <w:trPr>
          <w:trHeight w:val="64" w:hRule="atLeast"/>
        </w:trPr>
        <w:tc>
          <w:tcPr>
            <w:tcW w:w="4836" w:type="dxa"/>
            <w:tcBorders/>
          </w:tcPr>
          <w:p>
            <w:pPr>
              <w:pStyle w:val="Normal"/>
              <w:widowControl w:val="false"/>
              <w:jc w:val="both"/>
              <w:rPr>
                <w:rFonts w:ascii="Times New Roman" w:hAnsi="Times New Roman"/>
              </w:rPr>
            </w:pPr>
            <w:r>
              <w:rPr>
                <w:rFonts w:ascii="Times New Roman" w:hAnsi="Times New Roman"/>
                <w:i/>
                <w:iCs/>
                <w:sz w:val="24"/>
                <w:szCs w:val="24"/>
                <w:lang w:val="hr-HR"/>
              </w:rPr>
              <w:t>Višak  prihoda poslovanja 2024.</w:t>
            </w:r>
          </w:p>
          <w:p>
            <w:pPr>
              <w:pStyle w:val="Normal"/>
              <w:widowControl w:val="false"/>
              <w:jc w:val="both"/>
              <w:rPr>
                <w:rFonts w:ascii="Times New Roman" w:hAnsi="Times New Roman"/>
              </w:rPr>
            </w:pPr>
            <w:r>
              <w:rPr>
                <w:rFonts w:ascii="Times New Roman" w:hAnsi="Times New Roman"/>
                <w:b/>
                <w:bCs/>
                <w:i/>
                <w:iCs/>
                <w:sz w:val="24"/>
                <w:szCs w:val="24"/>
                <w:lang w:val="hr-HR"/>
              </w:rPr>
              <w:t>Ukupni višak prihoda poslovanja</w:t>
            </w:r>
          </w:p>
        </w:tc>
        <w:tc>
          <w:tcPr>
            <w:tcW w:w="4989" w:type="dxa"/>
            <w:tcBorders/>
          </w:tcPr>
          <w:p>
            <w:pPr>
              <w:pStyle w:val="Normal"/>
              <w:widowControl w:val="false"/>
              <w:jc w:val="both"/>
              <w:rPr>
                <w:rFonts w:ascii="Times New Roman" w:hAnsi="Times New Roman"/>
              </w:rPr>
            </w:pPr>
            <w:r>
              <w:rPr>
                <w:rFonts w:ascii="Times New Roman" w:hAnsi="Times New Roman"/>
                <w:sz w:val="24"/>
                <w:szCs w:val="24"/>
                <w:lang w:val="hr-HR"/>
              </w:rPr>
              <w:t>-154.155,02</w:t>
            </w:r>
          </w:p>
          <w:p>
            <w:pPr>
              <w:pStyle w:val="Normal"/>
              <w:widowControl w:val="false"/>
              <w:jc w:val="both"/>
              <w:rPr>
                <w:rFonts w:ascii="Times New Roman" w:hAnsi="Times New Roman"/>
              </w:rPr>
            </w:pPr>
            <w:r>
              <w:rPr>
                <w:rFonts w:ascii="Times New Roman" w:hAnsi="Times New Roman"/>
                <w:b/>
                <w:bCs/>
                <w:sz w:val="24"/>
                <w:szCs w:val="24"/>
                <w:lang w:val="hr-HR"/>
              </w:rPr>
              <w:t>223.855,09</w:t>
            </w:r>
          </w:p>
        </w:tc>
      </w:tr>
    </w:tbl>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b/>
          <w:sz w:val="24"/>
          <w:szCs w:val="24"/>
          <w:lang w:val="hr-HR"/>
        </w:rPr>
        <w:t>Članak 3.</w:t>
      </w:r>
    </w:p>
    <w:p>
      <w:pPr>
        <w:pStyle w:val="Normal"/>
        <w:jc w:val="both"/>
        <w:rPr>
          <w:rFonts w:ascii="Times New Roman" w:hAnsi="Times New Roman"/>
        </w:rPr>
      </w:pPr>
      <w:r>
        <w:rPr>
          <w:rFonts w:ascii="Times New Roman" w:hAnsi="Times New Roman"/>
          <w:sz w:val="24"/>
          <w:szCs w:val="24"/>
          <w:lang w:val="hr-HR"/>
        </w:rPr>
        <w:tab/>
        <w:t xml:space="preserve">Manjak prihoda od nefinancijske imovine u iznosu od </w:t>
      </w:r>
      <w:r>
        <w:rPr>
          <w:rFonts w:ascii="Times New Roman" w:hAnsi="Times New Roman"/>
          <w:b/>
          <w:bCs/>
          <w:sz w:val="24"/>
          <w:szCs w:val="24"/>
          <w:lang w:val="hr-HR"/>
        </w:rPr>
        <w:t>286.583,15 eura</w:t>
      </w:r>
      <w:r>
        <w:rPr>
          <w:rFonts w:ascii="Times New Roman" w:hAnsi="Times New Roman"/>
          <w:sz w:val="24"/>
          <w:szCs w:val="24"/>
          <w:lang w:val="hr-HR"/>
        </w:rPr>
        <w:t xml:space="preserve">, sukladno članku 81. i 82. Pravilnika o proračunskom računovodstvu i računskom planu, u cijelosti će se pokriti ostvarenim viškom prihoda poslovanja. </w:t>
      </w:r>
    </w:p>
    <w:p>
      <w:pPr>
        <w:pStyle w:val="Normal"/>
        <w:jc w:val="both"/>
        <w:rPr>
          <w:rFonts w:ascii="Times New Roman" w:hAnsi="Times New Roman"/>
        </w:rPr>
      </w:pPr>
      <w:r>
        <w:rPr>
          <w:rFonts w:ascii="Times New Roman" w:hAnsi="Times New Roman"/>
          <w:sz w:val="24"/>
          <w:szCs w:val="24"/>
          <w:lang w:val="hr-HR"/>
        </w:rPr>
        <w:tab/>
        <w:t xml:space="preserve">Višak prihoda raspoloživ u sljedećem razdoblju iznosi </w:t>
      </w:r>
      <w:r>
        <w:rPr>
          <w:rFonts w:ascii="Times New Roman" w:hAnsi="Times New Roman"/>
          <w:b/>
          <w:bCs/>
          <w:sz w:val="24"/>
          <w:szCs w:val="24"/>
          <w:lang w:val="hr-HR"/>
        </w:rPr>
        <w:t>223.855,09 eura</w:t>
      </w:r>
      <w:r>
        <w:rPr>
          <w:rFonts w:ascii="Times New Roman" w:hAnsi="Times New Roman"/>
          <w:sz w:val="24"/>
          <w:szCs w:val="24"/>
          <w:lang w:val="hr-HR"/>
        </w:rPr>
        <w:t xml:space="preserve">. </w:t>
      </w:r>
    </w:p>
    <w:p>
      <w:pPr>
        <w:pStyle w:val="Normal"/>
        <w:jc w:val="both"/>
        <w:rPr>
          <w:sz w:val="24"/>
          <w:szCs w:val="24"/>
          <w:lang w:val="hr-HR"/>
        </w:rPr>
      </w:pPr>
      <w:r>
        <w:rPr>
          <w:sz w:val="24"/>
          <w:szCs w:val="24"/>
          <w:lang w:val="hr-HR"/>
        </w:rPr>
      </w:r>
    </w:p>
    <w:p>
      <w:pPr>
        <w:pStyle w:val="Normal"/>
        <w:jc w:val="center"/>
        <w:rPr>
          <w:rFonts w:ascii="Times New Roman" w:hAnsi="Times New Roman"/>
        </w:rPr>
      </w:pPr>
      <w:r>
        <w:rPr>
          <w:rFonts w:ascii="Times New Roman" w:hAnsi="Times New Roman"/>
          <w:b/>
          <w:sz w:val="24"/>
          <w:szCs w:val="24"/>
          <w:lang w:val="hr-HR"/>
        </w:rPr>
        <w:t>Članak 4.</w:t>
      </w:r>
    </w:p>
    <w:p>
      <w:pPr>
        <w:pStyle w:val="Normal"/>
        <w:jc w:val="both"/>
        <w:rPr>
          <w:rFonts w:ascii="Times New Roman" w:hAnsi="Times New Roman"/>
        </w:rPr>
      </w:pPr>
      <w:r>
        <w:rPr>
          <w:rFonts w:ascii="Times New Roman" w:hAnsi="Times New Roman"/>
          <w:sz w:val="24"/>
          <w:szCs w:val="24"/>
          <w:lang w:val="hr-HR"/>
        </w:rPr>
        <w:tab/>
        <w:t>Višak prihoda iz članka 3. ostvaren od namjenskih prihoda donacije ZVO-a u iznosu 213.855,09 eura i 10.000,00 eura kapitalne pomoći iz proračuna Vukovarsko-srijemske županije već je raspoređen izradom proračuna za  2026. godinu u iznosu 107.000,00 eura, a ostatak u iznosu 116.855,09 eura rasporedit će se Odlukom o izmjenama i dopunama Proračuna Općine Negoslavci za 2026. godinu za namjene kako slijedi:</w:t>
      </w:r>
    </w:p>
    <w:p>
      <w:pPr>
        <w:pStyle w:val="ListParagraph"/>
        <w:numPr>
          <w:ilvl w:val="0"/>
          <w:numId w:val="4"/>
        </w:numPr>
        <w:jc w:val="both"/>
        <w:rPr>
          <w:rFonts w:ascii="Times New Roman" w:hAnsi="Times New Roman"/>
        </w:rPr>
      </w:pPr>
      <w:r>
        <w:rPr>
          <w:rFonts w:ascii="Times New Roman" w:hAnsi="Times New Roman"/>
          <w:sz w:val="24"/>
          <w:szCs w:val="24"/>
        </w:rPr>
        <w:t>85.700,00 eura dodatna ulaganja na građevinskim objektima i to 20.000,00 uređenje fasade na objektu Projekt centra; 13.700,00 eura sanacija zgrade Društvenog doma; 52.000,00 eura obnova i uređenje Etno kuće u Negoslavcima</w:t>
      </w:r>
    </w:p>
    <w:p>
      <w:pPr>
        <w:pStyle w:val="ListParagraph"/>
        <w:numPr>
          <w:ilvl w:val="0"/>
          <w:numId w:val="4"/>
        </w:numPr>
        <w:jc w:val="both"/>
        <w:rPr>
          <w:rFonts w:ascii="Times New Roman" w:hAnsi="Times New Roman"/>
        </w:rPr>
      </w:pPr>
      <w:r>
        <w:rPr>
          <w:rFonts w:ascii="Times New Roman" w:hAnsi="Times New Roman"/>
          <w:sz w:val="24"/>
          <w:szCs w:val="24"/>
        </w:rPr>
        <w:t>21.155,09 eura uređenje tribina NK Negoslavci</w:t>
      </w:r>
    </w:p>
    <w:p>
      <w:pPr>
        <w:pStyle w:val="ListParagraph"/>
        <w:numPr>
          <w:ilvl w:val="0"/>
          <w:numId w:val="4"/>
        </w:numPr>
        <w:jc w:val="both"/>
        <w:rPr>
          <w:rFonts w:ascii="Times New Roman" w:hAnsi="Times New Roman"/>
        </w:rPr>
      </w:pPr>
      <w:r>
        <w:rPr>
          <w:rFonts w:ascii="Times New Roman" w:hAnsi="Times New Roman"/>
          <w:sz w:val="24"/>
          <w:szCs w:val="24"/>
        </w:rPr>
        <w:t>10.000,00 eura održavanje nogostupa u Općini.</w:t>
      </w:r>
    </w:p>
    <w:p>
      <w:pPr>
        <w:pStyle w:val="ListParagraph"/>
        <w:numPr>
          <w:ilvl w:val="0"/>
          <w:numId w:val="4"/>
        </w:numPr>
        <w:jc w:val="both"/>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b/>
          <w:sz w:val="24"/>
          <w:szCs w:val="24"/>
          <w:lang w:val="hr-HR"/>
        </w:rPr>
        <w:t>Članak 5.</w:t>
      </w:r>
    </w:p>
    <w:p>
      <w:pPr>
        <w:pStyle w:val="Normal"/>
        <w:jc w:val="both"/>
        <w:rPr>
          <w:rFonts w:ascii="Times New Roman" w:hAnsi="Times New Roman"/>
        </w:rPr>
      </w:pPr>
      <w:r>
        <w:rPr>
          <w:rFonts w:ascii="Times New Roman" w:hAnsi="Times New Roman"/>
          <w:sz w:val="24"/>
          <w:szCs w:val="24"/>
          <w:lang w:val="hr-HR"/>
        </w:rPr>
        <w:tab/>
        <w:t>Ova Odluka stupa na snagu osmog dana od dana objave u Službenom glasniku Općine Negoslavci..</w:t>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sz w:val="24"/>
          <w:szCs w:val="24"/>
          <w:lang w:val="hr-HR"/>
        </w:rPr>
        <w:t>KLASA: 400-02/26-01/01</w:t>
      </w:r>
    </w:p>
    <w:p>
      <w:pPr>
        <w:pStyle w:val="Normal"/>
        <w:jc w:val="both"/>
        <w:rPr>
          <w:rFonts w:ascii="Times New Roman" w:hAnsi="Times New Roman"/>
        </w:rPr>
      </w:pPr>
      <w:r>
        <w:rPr>
          <w:rFonts w:ascii="Times New Roman" w:hAnsi="Times New Roman"/>
          <w:sz w:val="24"/>
          <w:szCs w:val="24"/>
          <w:lang w:val="hr-HR"/>
        </w:rPr>
        <w:t>URBROJ: 2196-19-02-26-01</w:t>
      </w:r>
    </w:p>
    <w:p>
      <w:pPr>
        <w:pStyle w:val="Normal"/>
        <w:jc w:val="both"/>
        <w:rPr>
          <w:rFonts w:ascii="Times New Roman" w:hAnsi="Times New Roman"/>
        </w:rPr>
      </w:pPr>
      <w:r>
        <w:rPr>
          <w:rFonts w:ascii="Times New Roman" w:hAnsi="Times New Roman"/>
          <w:sz w:val="24"/>
          <w:szCs w:val="24"/>
          <w:lang w:val="hr-HR"/>
        </w:rPr>
        <w:t xml:space="preserve">Negoslavci, 25. lipnja 2026. </w:t>
      </w:r>
    </w:p>
    <w:p>
      <w:pPr>
        <w:pStyle w:val="Normal"/>
        <w:jc w:val="both"/>
        <w:rPr>
          <w:rFonts w:ascii="Times New Roman" w:hAnsi="Times New Roman"/>
          <w:sz w:val="24"/>
          <w:szCs w:val="24"/>
          <w:lang w:val="hr-HR"/>
        </w:rPr>
      </w:pPr>
      <w:r>
        <w:rPr>
          <w:rFonts w:ascii="Times New Roman" w:hAnsi="Times New Roman"/>
          <w:sz w:val="24"/>
          <w:szCs w:val="24"/>
          <w:lang w:val="hr-HR"/>
        </w:rPr>
      </w:r>
    </w:p>
    <w:p>
      <w:pPr>
        <w:pStyle w:val="Normal"/>
        <w:jc w:val="center"/>
        <w:rPr/>
      </w:pPr>
      <w:r>
        <w:rPr>
          <w:rFonts w:ascii="Times New Roman" w:hAnsi="Times New Roman"/>
          <w:b/>
          <w:sz w:val="24"/>
          <w:szCs w:val="24"/>
          <w:lang w:val="hr-HR"/>
        </w:rPr>
        <w:t>PREDSJEDNIK OPĆINSKOG VIJEĆA:</w:t>
      </w:r>
    </w:p>
    <w:p>
      <w:pPr>
        <w:pStyle w:val="Normal"/>
        <w:jc w:val="center"/>
        <w:rPr/>
      </w:pPr>
      <w:r>
        <w:rPr>
          <w:rFonts w:ascii="Times New Roman" w:hAnsi="Times New Roman"/>
          <w:sz w:val="24"/>
          <w:szCs w:val="24"/>
          <w:lang w:val="hr-HR"/>
        </w:rPr>
        <w:t>Miodrag Mišanović</w:t>
      </w:r>
    </w:p>
    <w:p>
      <w:pPr>
        <w:pStyle w:val="Normal"/>
        <w:bidi w:val="0"/>
        <w:jc w:val="center"/>
        <w:rPr>
          <w:rFonts w:ascii="Times New Roman" w:hAnsi="Times New Roman"/>
        </w:rPr>
      </w:pPr>
      <w:r>
        <w:rPr/>
        <w:drawing>
          <wp:inline distT="0" distB="0" distL="0" distR="0">
            <wp:extent cx="5761355" cy="36830"/>
            <wp:effectExtent l="0" t="0" r="0" b="0"/>
            <wp:docPr id="9" name="Slik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3" descr=""/>
                    <pic:cNvPicPr>
                      <a:picLocks noChangeAspect="1" noChangeArrowheads="1"/>
                    </pic:cNvPicPr>
                  </pic:nvPicPr>
                  <pic:blipFill>
                    <a:blip r:embed="rId34"/>
                    <a:stretch>
                      <a:fillRect/>
                    </a:stretch>
                  </pic:blipFill>
                  <pic:spPr bwMode="auto">
                    <a:xfrm>
                      <a:off x="0" y="0"/>
                      <a:ext cx="5761355" cy="36830"/>
                    </a:xfrm>
                    <a:prstGeom prst="rect">
                      <a:avLst/>
                    </a:prstGeom>
                  </pic:spPr>
                </pic:pic>
              </a:graphicData>
            </a:graphic>
          </wp:inline>
        </w:drawing>
      </w:r>
    </w:p>
    <w:p>
      <w:pPr>
        <w:pStyle w:val="Normal"/>
        <w:bidi w:val="0"/>
        <w:jc w:val="left"/>
        <w:rPr>
          <w:rFonts w:ascii="Times New Roman" w:hAnsi="Times New Roman"/>
          <w:color w:val="000000"/>
        </w:rPr>
      </w:pPr>
      <w:r>
        <w:rPr>
          <w:rFonts w:ascii="Times New Roman" w:hAnsi="Times New Roman"/>
          <w:color w:val="000000"/>
        </w:rPr>
      </w:r>
    </w:p>
    <w:p>
      <w:pPr>
        <w:pStyle w:val="Normal"/>
        <w:keepNext w:val="true"/>
        <w:spacing w:lineRule="auto" w:line="276"/>
        <w:ind w:hanging="0"/>
        <w:rPr>
          <w:rFonts w:ascii="Times New Roman" w:hAnsi="Times New Roman"/>
          <w:sz w:val="24"/>
          <w:szCs w:val="24"/>
        </w:rPr>
      </w:pPr>
      <w:r>
        <w:rPr>
          <w:rFonts w:ascii="Times New Roman" w:hAnsi="Times New Roman"/>
          <w:sz w:val="24"/>
          <w:szCs w:val="24"/>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Fonts w:cs="Times New Roman" w:ascii="Times New Roman" w:hAnsi="Times New Roman"/>
        </w:rPr>
      </w:r>
    </w:p>
    <w:p>
      <w:pPr>
        <w:pStyle w:val="Tijeloteksta"/>
        <w:spacing w:before="0" w:after="150"/>
        <w:jc w:val="both"/>
        <w:rPr>
          <w:rFonts w:ascii="Times New Roman" w:hAnsi="Times New Roman" w:cs="Times New Roman"/>
        </w:rPr>
      </w:pPr>
      <w:r>
        <w:rPr>
          <w:rStyle w:val="Internetskapoveznica"/>
          <w:rFonts w:cs="Times New Roman" w:ascii="Times New Roman" w:hAnsi="Times New Roman"/>
          <w:color w:val="auto"/>
          <w:u w:val="none"/>
        </w:rPr>
        <w:tab/>
        <w:t>Na temelju</w:t>
      </w:r>
      <w:r>
        <w:rPr>
          <w:rFonts w:cs="Times New Roman" w:ascii="Times New Roman" w:hAnsi="Times New Roman"/>
        </w:rPr>
        <w:t xml:space="preserve"> članka 15. stavka 2. Zakona o javnoj nabavi („Narodne novine“ broj 120/16 i 114/22, 48/26 )  i članka 19., stavka 1., točke 2.. Statuta Općine Negoslavci („Službeni glasnik Općine Negoslavci 4/25) Općinsko vijeće Općine Negoslavci na svojoj sjednici održanoj dana 25.lipnja 2026. godine, donijelo je slijedeći</w:t>
      </w:r>
    </w:p>
    <w:p>
      <w:pPr>
        <w:pStyle w:val="Normal"/>
        <w:ind w:firstLine="708"/>
        <w:jc w:val="center"/>
        <w:rPr>
          <w:rFonts w:ascii="Times New Roman" w:hAnsi="Times New Roman"/>
          <w:b/>
          <w:b/>
          <w:bCs/>
          <w:sz w:val="24"/>
          <w:szCs w:val="24"/>
        </w:rPr>
      </w:pPr>
      <w:r>
        <w:rPr>
          <w:rFonts w:ascii="Times New Roman" w:hAnsi="Times New Roman"/>
          <w:b/>
          <w:bCs/>
          <w:sz w:val="24"/>
          <w:szCs w:val="24"/>
        </w:rPr>
        <w:t>PRAVILNIK O PROVEDBI POSTUPAKA JEDNOSTAVNE NABAVE</w:t>
      </w:r>
    </w:p>
    <w:p>
      <w:pPr>
        <w:pStyle w:val="Normal"/>
        <w:ind w:hanging="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ind w:hanging="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I. OPĆE ODREDBE</w:t>
      </w:r>
    </w:p>
    <w:p>
      <w:pPr>
        <w:pStyle w:val="Normal"/>
        <w:ind w:hanging="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Članak 1.</w:t>
      </w:r>
    </w:p>
    <w:p>
      <w:pPr>
        <w:pStyle w:val="Normal"/>
        <w:jc w:val="both"/>
        <w:rPr/>
      </w:pPr>
      <w:r>
        <w:rPr>
          <w:rFonts w:cs="Times New Roman" w:ascii="Times New Roman" w:hAnsi="Times New Roman"/>
          <w:sz w:val="24"/>
          <w:szCs w:val="24"/>
        </w:rPr>
        <w:tab/>
        <w:t xml:space="preserve">Ovim se Pravilnikom uređuju pravila, uvjeti i način postupanja javnog naručitelja </w:t>
      </w:r>
      <w:r>
        <w:rPr>
          <w:rFonts w:ascii="Times New Roman" w:hAnsi="Times New Roman"/>
          <w:sz w:val="24"/>
          <w:szCs w:val="24"/>
        </w:rPr>
        <w:t>Općine Negoslavci</w:t>
      </w:r>
      <w:r>
        <w:rPr>
          <w:rFonts w:cs="Times New Roman" w:ascii="Times New Roman" w:hAnsi="Times New Roman"/>
          <w:sz w:val="24"/>
          <w:szCs w:val="24"/>
        </w:rPr>
        <w:t xml:space="preserve"> prilikom nabave roba, usluga i radova, te provedbe projektnih natječaja, koji po svojoj procijenjenoj vrijednosti spadaju u kategoriju jednostavne nabave.</w:t>
      </w:r>
    </w:p>
    <w:p>
      <w:pPr>
        <w:pStyle w:val="Normal"/>
        <w:jc w:val="both"/>
        <w:rPr/>
      </w:pPr>
      <w:r>
        <w:rPr>
          <w:rFonts w:cs="Times New Roman" w:ascii="Times New Roman" w:hAnsi="Times New Roman"/>
          <w:sz w:val="24"/>
          <w:szCs w:val="24"/>
        </w:rPr>
        <w:t>Jednostavna nabava je nabava robe i usluga te provedba projektnih natječaja procijenjene vrijednosti manje od 50.000,00 eura i radova procijenjene vrijednosti manje od 100.000,00 eura, a za koje sukladno članku 12. stavku 1. Zakona o javnoj nabavi (Narodne novine br. 120/16, 114/22 i 48/26, u daljnjem tekstu: ZJN 2016) ne postoji obveza provedbe postupaka javne nabave.</w:t>
      </w:r>
    </w:p>
    <w:p>
      <w:pPr>
        <w:pStyle w:val="Normal"/>
        <w:jc w:val="both"/>
        <w:rPr/>
      </w:pPr>
      <w:r>
        <w:rPr>
          <w:rFonts w:cs="Times New Roman" w:ascii="Times New Roman" w:hAnsi="Times New Roman"/>
          <w:sz w:val="24"/>
          <w:szCs w:val="24"/>
        </w:rPr>
        <w:t>Procijenjena vrijednost nabave u smislu ovog Pravilnika odnosi se na ukupan iznos jednostavne nabave bez poreza na dodanu vrijednost (PDV-a), a određuje se odgovarajućom primjenom odredbi ZJN 2016.</w:t>
      </w:r>
    </w:p>
    <w:p>
      <w:pPr>
        <w:pStyle w:val="Normal"/>
        <w:jc w:val="both"/>
        <w:rPr/>
      </w:pPr>
      <w:r>
        <w:rPr>
          <w:rFonts w:cs="Times New Roman" w:ascii="Times New Roman" w:hAnsi="Times New Roman"/>
          <w:sz w:val="24"/>
          <w:szCs w:val="24"/>
        </w:rPr>
        <w:tab/>
        <w:t>U provedbi postupaka jednostavne nabave osim ovog Pravilnika, obvezno je primjenjivati i druge važeće zakonske i podzakonske akte koji se odnose na pojedini predmet nabave, opće i posebne akte naručitelja.</w:t>
      </w:r>
    </w:p>
    <w:p>
      <w:pPr>
        <w:pStyle w:val="Normal"/>
        <w:jc w:val="both"/>
        <w:rPr/>
      </w:pPr>
      <w:r>
        <w:rPr>
          <w:rFonts w:cs="Times New Roman" w:ascii="Times New Roman" w:hAnsi="Times New Roman"/>
          <w:sz w:val="24"/>
          <w:szCs w:val="24"/>
        </w:rPr>
        <w:tab/>
        <w:t>Izrazi koji se koriste u ovom Pravilniku, a imaju rodno značenje odnose se jednako na muški i ženski rod.</w:t>
      </w:r>
    </w:p>
    <w:p>
      <w:pPr>
        <w:pStyle w:val="Normal"/>
        <w:ind w:hanging="0"/>
        <w:rPr>
          <w:rFonts w:ascii="Times New Roman" w:hAnsi="Times New Roman" w:cs="Times New Roman"/>
          <w:bCs/>
          <w:sz w:val="20"/>
          <w:szCs w:val="20"/>
        </w:rPr>
      </w:pPr>
      <w:r>
        <w:rPr>
          <w:rFonts w:cs="Times New Roman" w:ascii="Times New Roman" w:hAnsi="Times New Roman"/>
          <w:bCs/>
          <w:sz w:val="20"/>
          <w:szCs w:val="20"/>
        </w:rPr>
      </w:r>
    </w:p>
    <w:p>
      <w:pPr>
        <w:pStyle w:val="Normal"/>
        <w:ind w:hanging="0"/>
        <w:jc w:val="center"/>
        <w:rPr>
          <w:rFonts w:ascii="Times New Roman" w:hAnsi="Times New Roman" w:cs="Times New Roman"/>
          <w:b/>
          <w:b/>
          <w:bCs/>
          <w:sz w:val="24"/>
          <w:szCs w:val="24"/>
        </w:rPr>
      </w:pPr>
      <w:r>
        <w:rPr>
          <w:rFonts w:cs="Times New Roman" w:ascii="Times New Roman" w:hAnsi="Times New Roman"/>
          <w:b/>
          <w:bCs/>
          <w:sz w:val="24"/>
          <w:szCs w:val="24"/>
        </w:rPr>
        <w:t>Članak 2.</w:t>
      </w:r>
    </w:p>
    <w:p>
      <w:pPr>
        <w:pStyle w:val="Normal"/>
        <w:jc w:val="both"/>
        <w:rPr/>
      </w:pPr>
      <w:r>
        <w:rPr>
          <w:rFonts w:cs="Times New Roman" w:ascii="Times New Roman" w:hAnsi="Times New Roman"/>
          <w:sz w:val="24"/>
          <w:szCs w:val="24"/>
        </w:rPr>
        <w:tab/>
        <w:t xml:space="preserve">Prilikom provođenja postupaka jednostavne nabave naručitelj je obvezan u odnosu na sve gospodarske subjekte poštovati načela iz članka 4. ZJN 2016. </w:t>
      </w:r>
    </w:p>
    <w:p>
      <w:pPr>
        <w:pStyle w:val="Normal"/>
        <w:jc w:val="both"/>
        <w:rPr/>
      </w:pPr>
      <w:r>
        <w:rPr>
          <w:rFonts w:cs="Times New Roman" w:ascii="Times New Roman" w:hAnsi="Times New Roman"/>
          <w:sz w:val="24"/>
          <w:szCs w:val="24"/>
        </w:rPr>
        <w:tab/>
        <w:t>Nadležna upravna tijela dužna su primjenjivati odredbe ovoga Pravilnika na način koji omogućava učinkovitu nabavu te ekonomično i svrhovito trošenje javnih sredstava.</w:t>
      </w:r>
    </w:p>
    <w:p>
      <w:pPr>
        <w:pStyle w:val="Normal"/>
        <w:jc w:val="both"/>
        <w:rPr/>
      </w:pPr>
      <w:r>
        <w:rPr>
          <w:rFonts w:cs="Times New Roman" w:ascii="Times New Roman" w:hAnsi="Times New Roman"/>
          <w:sz w:val="24"/>
          <w:szCs w:val="24"/>
        </w:rPr>
        <w:tab/>
        <w:t>Jednostavna nabava ne smije biti osmišljena s namjerom da se određenim gospodarskim subjektima neopravdano da prednost ili da ih se stavi u nepovoljan položaj.</w:t>
      </w:r>
    </w:p>
    <w:p>
      <w:pPr>
        <w:pStyle w:val="Normal"/>
        <w:ind w:hanging="0"/>
        <w:rPr>
          <w:rFonts w:ascii="Times New Roman" w:hAnsi="Times New Roman" w:cs="Times New Roman"/>
        </w:rPr>
      </w:pPr>
      <w:r>
        <w:rPr>
          <w:rFonts w:cs="Times New Roman" w:ascii="Times New Roman" w:hAnsi="Times New Roman"/>
        </w:rPr>
      </w:r>
    </w:p>
    <w:p>
      <w:pPr>
        <w:pStyle w:val="Normal"/>
        <w:ind w:hanging="0"/>
        <w:jc w:val="center"/>
        <w:rPr>
          <w:rFonts w:ascii="Times New Roman" w:hAnsi="Times New Roman" w:cs="Times New Roman"/>
          <w:b/>
          <w:b/>
          <w:bCs/>
          <w:sz w:val="24"/>
          <w:szCs w:val="24"/>
        </w:rPr>
      </w:pPr>
      <w:r>
        <w:rPr>
          <w:rFonts w:cs="Times New Roman" w:ascii="Times New Roman" w:hAnsi="Times New Roman"/>
          <w:b/>
          <w:bCs/>
          <w:sz w:val="24"/>
          <w:szCs w:val="24"/>
        </w:rPr>
        <w:t>Članak 3.</w:t>
      </w:r>
    </w:p>
    <w:p>
      <w:pPr>
        <w:pStyle w:val="Normal"/>
        <w:ind w:firstLine="708"/>
        <w:jc w:val="both"/>
        <w:rPr/>
      </w:pPr>
      <w:r>
        <w:rPr>
          <w:rFonts w:eastAsia="Calibri" w:cs="Times New Roman"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pPr>
        <w:pStyle w:val="Normal"/>
        <w:ind w:firstLine="708"/>
        <w:jc w:val="both"/>
        <w:rPr/>
      </w:pPr>
      <w:r>
        <w:rPr>
          <w:rFonts w:eastAsia="Calibri" w:cs="Times New Roman" w:ascii="Times New Roman" w:hAnsi="Times New Roman"/>
          <w:sz w:val="24"/>
          <w:szCs w:val="24"/>
        </w:rPr>
        <w:t>Odredbe o sukobu interesa se sukladno odredbama članaka 75. do 83. ZJN 2016 na odgovarajući način primjenjuju u postupcima jednostavne nabave koji se provode temeljem ovoga Pravilnika.</w:t>
      </w:r>
    </w:p>
    <w:p>
      <w:pPr>
        <w:pStyle w:val="Normal"/>
        <w:ind w:hanging="0"/>
        <w:rPr>
          <w:rFonts w:ascii="Times New Roman" w:hAnsi="Times New Roman" w:cs="Times New Roman"/>
        </w:rPr>
      </w:pPr>
      <w:r>
        <w:rPr>
          <w:rFonts w:cs="Times New Roman" w:ascii="Times New Roman" w:hAnsi="Times New Roman"/>
        </w:rPr>
      </w:r>
    </w:p>
    <w:p>
      <w:pPr>
        <w:pStyle w:val="Normal"/>
        <w:ind w:hanging="0"/>
        <w:jc w:val="center"/>
        <w:rPr>
          <w:rFonts w:ascii="Times New Roman" w:hAnsi="Times New Roman" w:cs="Times New Roman"/>
          <w:b/>
          <w:b/>
          <w:bCs/>
          <w:sz w:val="24"/>
          <w:szCs w:val="24"/>
        </w:rPr>
      </w:pPr>
      <w:r>
        <w:rPr>
          <w:rFonts w:cs="Times New Roman" w:ascii="Times New Roman" w:hAnsi="Times New Roman"/>
          <w:b/>
          <w:bCs/>
          <w:sz w:val="24"/>
          <w:szCs w:val="24"/>
        </w:rPr>
        <w:t>Članak 4.</w:t>
      </w:r>
    </w:p>
    <w:p>
      <w:pPr>
        <w:pStyle w:val="Normal"/>
        <w:ind w:firstLine="567"/>
        <w:jc w:val="both"/>
        <w:rPr/>
      </w:pPr>
      <w:r>
        <w:rPr>
          <w:rFonts w:cs="Times New Roman" w:ascii="Times New Roman" w:hAnsi="Times New Roman"/>
          <w:sz w:val="24"/>
          <w:szCs w:val="24"/>
        </w:rPr>
        <w:t xml:space="preserve">Postupci jednostavne nabave moraju biti usklađeni s Planom nabave </w:t>
      </w:r>
      <w:r>
        <w:rPr>
          <w:rFonts w:ascii="Times New Roman" w:hAnsi="Times New Roman"/>
          <w:sz w:val="24"/>
          <w:szCs w:val="24"/>
        </w:rPr>
        <w:t>Općine Negoslavci</w:t>
      </w:r>
      <w:r>
        <w:rPr>
          <w:rFonts w:cs="Times New Roman" w:ascii="Times New Roman" w:hAnsi="Times New Roman"/>
          <w:sz w:val="24"/>
          <w:szCs w:val="24"/>
        </w:rPr>
        <w:t>, osim nabava procijenjene vrijednosti manje od 5.000,00 eura.</w:t>
      </w:r>
    </w:p>
    <w:p>
      <w:pPr>
        <w:pStyle w:val="Normal"/>
        <w:ind w:firstLine="567"/>
        <w:rPr>
          <w:rFonts w:ascii="Times New Roman" w:hAnsi="Times New Roman" w:cs="Times New Roman"/>
          <w:sz w:val="24"/>
          <w:szCs w:val="24"/>
        </w:rPr>
      </w:pPr>
      <w:r>
        <w:rPr>
          <w:rFonts w:cs="Times New Roman" w:ascii="Times New Roman" w:hAnsi="Times New Roman"/>
          <w:sz w:val="24"/>
          <w:szCs w:val="24"/>
        </w:rPr>
      </w:r>
    </w:p>
    <w:p>
      <w:pPr>
        <w:pStyle w:val="Normal"/>
        <w:ind w:hanging="0"/>
        <w:jc w:val="center"/>
        <w:rPr>
          <w:rFonts w:ascii="Times New Roman" w:hAnsi="Times New Roman" w:cs="Times New Roman"/>
          <w:b/>
          <w:b/>
          <w:bCs/>
          <w:sz w:val="24"/>
          <w:szCs w:val="24"/>
        </w:rPr>
      </w:pPr>
      <w:r>
        <w:rPr>
          <w:rFonts w:cs="Times New Roman" w:ascii="Times New Roman" w:hAnsi="Times New Roman"/>
          <w:b/>
          <w:bCs/>
          <w:sz w:val="24"/>
          <w:szCs w:val="24"/>
        </w:rPr>
        <w:t>II. NABAVE PROCIJENJENE VRIJEDNOSTI JEDNAKE ILI MANJE OD 15.000,00 EURA</w:t>
      </w:r>
    </w:p>
    <w:p>
      <w:pPr>
        <w:pStyle w:val="Normal"/>
        <w:ind w:hanging="0"/>
        <w:jc w:val="center"/>
        <w:rPr>
          <w:rFonts w:ascii="Times New Roman" w:hAnsi="Times New Roman" w:cs="Times New Roman"/>
          <w:b/>
          <w:b/>
          <w:bCs/>
          <w:sz w:val="24"/>
          <w:szCs w:val="24"/>
        </w:rPr>
      </w:pPr>
      <w:r>
        <w:rPr>
          <w:rFonts w:cs="Times New Roman" w:ascii="Times New Roman" w:hAnsi="Times New Roman"/>
          <w:b/>
          <w:bCs/>
          <w:sz w:val="24"/>
          <w:szCs w:val="24"/>
        </w:rPr>
        <w:t>Članak 5.</w:t>
      </w:r>
    </w:p>
    <w:p>
      <w:pPr>
        <w:pStyle w:val="Normal"/>
        <w:ind w:firstLine="708"/>
        <w:jc w:val="both"/>
        <w:rPr/>
      </w:pPr>
      <w:r>
        <w:rPr>
          <w:rFonts w:cs="Times New Roman" w:ascii="Times New Roman" w:hAnsi="Times New Roman"/>
          <w:bCs/>
          <w:sz w:val="24"/>
          <w:szCs w:val="24"/>
        </w:rPr>
        <w:t xml:space="preserve">Članovi </w:t>
      </w:r>
      <w:bookmarkStart w:id="43" w:name="_Hlk232247705"/>
      <w:r>
        <w:rPr>
          <w:rFonts w:cs="Times New Roman" w:ascii="Times New Roman" w:hAnsi="Times New Roman"/>
          <w:bCs/>
          <w:sz w:val="24"/>
          <w:szCs w:val="24"/>
        </w:rPr>
        <w:t xml:space="preserve">stručnog povjerenstva za jednostavnu nabavu </w:t>
      </w:r>
      <w:bookmarkEnd w:id="43"/>
      <w:r>
        <w:rPr>
          <w:rFonts w:cs="Times New Roman" w:ascii="Times New Roman" w:hAnsi="Times New Roman"/>
          <w:bCs/>
          <w:sz w:val="24"/>
          <w:szCs w:val="24"/>
        </w:rPr>
        <w:t>koje imenuje Općinski načelnik  pripremaju i provode postupke jednostavne nabave procijenjene vrijednosti jednake ili manje od 15.000,00 eura.</w:t>
      </w:r>
    </w:p>
    <w:p>
      <w:pPr>
        <w:pStyle w:val="Normal"/>
        <w:jc w:val="both"/>
        <w:rPr/>
      </w:pPr>
      <w:r>
        <w:rPr>
          <w:rFonts w:cs="Times New Roman" w:ascii="Times New Roman" w:hAnsi="Times New Roman"/>
          <w:sz w:val="24"/>
          <w:szCs w:val="24"/>
        </w:rPr>
        <w:tab/>
        <w:t>Nabava se, u pravilu, provodi neposredno s (1) jednim gospodarskim subjektom, izdavanjem narudžbenice ili sklapanjem ugovora.</w:t>
      </w:r>
    </w:p>
    <w:p>
      <w:pPr>
        <w:pStyle w:val="Normal"/>
        <w:ind w:firstLine="708"/>
        <w:jc w:val="both"/>
        <w:rPr/>
      </w:pPr>
      <w:r>
        <w:rPr>
          <w:rFonts w:cs="Times New Roman" w:ascii="Times New Roman" w:hAnsi="Times New Roman"/>
          <w:sz w:val="24"/>
          <w:szCs w:val="24"/>
        </w:rPr>
        <w:t>Nabava se može provesti i slanjem poziva za dostavu ponuda na adrese više gospodarskih subjekata ili javnom objavom pri čemu članovi stručnog povjerenstva za jednostavnu nabavu mogu odgovarajuće primjenjivati odredbe ovog Pravilnika za nabave procijenjene vrijednosti veće od 15.000,00 eura.</w:t>
      </w:r>
    </w:p>
    <w:p>
      <w:pPr>
        <w:pStyle w:val="Normal"/>
        <w:ind w:firstLine="708"/>
        <w:jc w:val="both"/>
        <w:rPr/>
      </w:pPr>
      <w:r>
        <w:rPr>
          <w:rFonts w:cs="Times New Roman" w:ascii="Times New Roman" w:hAnsi="Times New Roman"/>
          <w:sz w:val="24"/>
          <w:szCs w:val="24"/>
        </w:rPr>
        <w:t>Narudžbenicu odnosno ugovor potpisuje Općinski načelnik na prijedlog stručnog povjerenstva za jednostavnu nabavu.</w:t>
      </w:r>
    </w:p>
    <w:p>
      <w:pPr>
        <w:pStyle w:val="Normal"/>
        <w:ind w:firstLine="708"/>
        <w:jc w:val="both"/>
        <w:rPr/>
      </w:pPr>
      <w:r>
        <w:rPr>
          <w:rFonts w:cs="Times New Roman" w:ascii="Times New Roman" w:hAnsi="Times New Roman"/>
          <w:sz w:val="24"/>
          <w:szCs w:val="24"/>
        </w:rPr>
        <w:t>Prilikom provođenja postupaka jednostavne nabave iz ovog članka treba uzeti u obzir mogućnost primjene elektroničkih sredstava komunikacije.</w:t>
      </w:r>
    </w:p>
    <w:p>
      <w:pPr>
        <w:pStyle w:val="Normal"/>
        <w:ind w:hanging="0"/>
        <w:rPr>
          <w:rFonts w:ascii="Times New Roman" w:hAnsi="Times New Roman" w:cs="Times New Roman"/>
          <w:sz w:val="24"/>
          <w:szCs w:val="24"/>
        </w:rPr>
      </w:pPr>
      <w:r>
        <w:rPr>
          <w:rFonts w:cs="Times New Roman" w:ascii="Times New Roman" w:hAnsi="Times New Roman"/>
          <w:sz w:val="24"/>
          <w:szCs w:val="24"/>
        </w:rPr>
      </w:r>
    </w:p>
    <w:p>
      <w:pPr>
        <w:pStyle w:val="Normal"/>
        <w:ind w:hanging="0"/>
        <w:jc w:val="center"/>
        <w:rPr>
          <w:rFonts w:ascii="Times New Roman" w:hAnsi="Times New Roman" w:cs="Times New Roman"/>
          <w:b/>
          <w:b/>
          <w:bCs/>
          <w:sz w:val="24"/>
          <w:szCs w:val="24"/>
        </w:rPr>
      </w:pPr>
      <w:r>
        <w:rPr>
          <w:rFonts w:cs="Times New Roman" w:ascii="Times New Roman" w:hAnsi="Times New Roman"/>
          <w:b/>
          <w:bCs/>
          <w:sz w:val="24"/>
          <w:szCs w:val="24"/>
        </w:rPr>
        <w:t>III. NABAVE PROCIJENJENE VRIJEDNOSTI VEĆE OD 15.000,00 EURA</w:t>
      </w:r>
    </w:p>
    <w:p>
      <w:pPr>
        <w:pStyle w:val="Default"/>
        <w:jc w:val="center"/>
        <w:rPr>
          <w:b/>
          <w:b/>
          <w:bCs/>
          <w:color w:val="000000" w:themeColor="text1"/>
        </w:rPr>
      </w:pPr>
      <w:r>
        <w:rPr>
          <w:b/>
          <w:bCs/>
          <w:color w:val="000000" w:themeColor="text1"/>
        </w:rPr>
        <w:t>Članak 6.</w:t>
      </w:r>
    </w:p>
    <w:p>
      <w:pPr>
        <w:pStyle w:val="Default"/>
        <w:ind w:firstLine="708"/>
        <w:jc w:val="both"/>
        <w:rPr/>
      </w:pPr>
      <w:r>
        <w:rPr>
          <w:color w:val="000000" w:themeColor="text1"/>
        </w:rPr>
        <w:t>Postupak jednostavne nabave čija je procijenjena vrijednost jednaka ili veća od 15.000,00 eura Naručitelj provodi putem modula jednostavne nabave u Elektroničkom oglasniku javne nabave Republike Hrvatske (dalje: EOJN RH) slanjem poziva na dostavu ponuda prema najmanje tri (3) gospodarska subjekta i/ili putem javne objave.</w:t>
      </w:r>
    </w:p>
    <w:p>
      <w:pPr>
        <w:pStyle w:val="Default"/>
        <w:ind w:firstLine="708"/>
        <w:jc w:val="both"/>
        <w:rPr/>
      </w:pPr>
      <w:r>
        <w:rPr>
          <w:color w:val="000000" w:themeColor="text1"/>
        </w:rPr>
        <w:t>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pPr>
        <w:pStyle w:val="Default"/>
        <w:jc w:val="both"/>
        <w:rPr>
          <w:color w:val="000000" w:themeColor="text1"/>
        </w:rPr>
      </w:pPr>
      <w:r>
        <w:rPr>
          <w:color w:val="000000" w:themeColor="text1"/>
        </w:rPr>
      </w:r>
    </w:p>
    <w:p>
      <w:pPr>
        <w:pStyle w:val="Default"/>
        <w:jc w:val="center"/>
        <w:rPr>
          <w:b/>
          <w:b/>
          <w:bCs/>
          <w:color w:val="000000" w:themeColor="text1"/>
        </w:rPr>
      </w:pPr>
      <w:r>
        <w:rPr>
          <w:b/>
          <w:bCs/>
          <w:color w:val="000000" w:themeColor="text1"/>
        </w:rPr>
        <w:t>Članak 7.</w:t>
      </w:r>
    </w:p>
    <w:p>
      <w:pPr>
        <w:pStyle w:val="Default"/>
        <w:ind w:firstLine="708"/>
        <w:jc w:val="both"/>
        <w:rPr/>
      </w:pPr>
      <w:r>
        <w:rPr>
          <w:color w:val="000000" w:themeColor="text1"/>
        </w:rPr>
        <w:t>Iznimno od članka 4., Naručitelj može postupak jednostavne nabave provesti putem modula jednostavne nabave u EOJN RH, slanjem poziva na dostavu ponuda najmanje jednom gospodarskom subjektu, u sljedećim slučajevima:</w:t>
      </w:r>
    </w:p>
    <w:p>
      <w:pPr>
        <w:pStyle w:val="Default"/>
        <w:jc w:val="both"/>
        <w:rPr/>
      </w:pPr>
      <w:r>
        <w:rPr>
          <w:color w:val="000000" w:themeColor="text1"/>
        </w:rPr>
        <w:t xml:space="preserve">a) ako nije podnesena nijedna ponuda ili nijedna valjana ponuda u prethodno provedenom postupku jednostavne nabave, pod uvjetom da početni ugovorni uvjeti nisu bitno izmijenjeni, </w:t>
      </w:r>
    </w:p>
    <w:p>
      <w:pPr>
        <w:pStyle w:val="Default"/>
        <w:jc w:val="both"/>
        <w:rPr/>
      </w:pPr>
      <w:r>
        <w:rPr>
          <w:color w:val="000000" w:themeColor="text1"/>
        </w:rPr>
        <w:t>b) ako zbog objektivnih razloga predmet nabave može izvršiti, isporučiti ili pružiti samo određeni gospodarski subjekt, i to:</w:t>
      </w:r>
    </w:p>
    <w:p>
      <w:pPr>
        <w:pStyle w:val="Default"/>
        <w:ind w:firstLine="708"/>
        <w:jc w:val="both"/>
        <w:rPr/>
      </w:pPr>
      <w:r>
        <w:rPr>
          <w:color w:val="000000" w:themeColor="text1"/>
        </w:rPr>
        <w:t xml:space="preserve">1. ako je predmet nabave stvaranje ili stjecanje jedinstvenog umjetničkog djela ili umjetničke izvedbe </w:t>
      </w:r>
    </w:p>
    <w:p>
      <w:pPr>
        <w:pStyle w:val="Default"/>
        <w:ind w:firstLine="708"/>
        <w:jc w:val="both"/>
        <w:rPr/>
      </w:pPr>
      <w:r>
        <w:rPr>
          <w:color w:val="000000" w:themeColor="text1"/>
        </w:rPr>
        <w:t xml:space="preserve">2. ako iz tehničkih razloga ne postoji tržišno natjecanje ili </w:t>
      </w:r>
    </w:p>
    <w:p>
      <w:pPr>
        <w:pStyle w:val="Default"/>
        <w:ind w:firstLine="708"/>
        <w:jc w:val="both"/>
        <w:rPr/>
      </w:pPr>
      <w:r>
        <w:rPr>
          <w:color w:val="000000" w:themeColor="text1"/>
        </w:rPr>
        <w:t>3. ako je to nužno radi zaštite isključivih prava, uključujući prava intelektualnog vlasništva,</w:t>
      </w:r>
    </w:p>
    <w:p>
      <w:pPr>
        <w:pStyle w:val="Default"/>
        <w:jc w:val="both"/>
        <w:rPr/>
      </w:pPr>
      <w:r>
        <w:rPr>
          <w:color w:val="000000" w:themeColor="text1"/>
        </w:rPr>
        <w:t>c) ako postoji iznimna žurnost uzrokovana događajima koje Naručitelj nije mogao predvidjeti niti na njih utjecati.</w:t>
      </w:r>
    </w:p>
    <w:p>
      <w:pPr>
        <w:pStyle w:val="Default"/>
        <w:ind w:firstLine="708"/>
        <w:jc w:val="both"/>
        <w:rPr/>
      </w:pPr>
      <w:r>
        <w:rPr>
          <w:color w:val="000000" w:themeColor="text1"/>
        </w:rPr>
        <w:t>Nadležna upravna tijela dužna su u zahtjevu za pokretanje postupka jednostavne nabave obrazložiti razloge primjene iznimke iz stavka 1. ovog članka.</w:t>
      </w:r>
    </w:p>
    <w:p>
      <w:pPr>
        <w:pStyle w:val="Default"/>
        <w:ind w:firstLine="708"/>
        <w:jc w:val="both"/>
        <w:rPr/>
      </w:pPr>
      <w:r>
        <w:rPr>
          <w:color w:val="000000" w:themeColor="text1"/>
        </w:rPr>
        <w:t>Razlozi za primjenu iznimke iz ovoga članka navode se i obrazlažu u objavi u modulu jednostavne nabave EOJN RH.</w:t>
      </w:r>
    </w:p>
    <w:p>
      <w:pPr>
        <w:pStyle w:val="Default"/>
        <w:ind w:firstLine="708"/>
        <w:jc w:val="both"/>
        <w:rPr>
          <w:color w:val="000000" w:themeColor="text1"/>
        </w:rPr>
      </w:pPr>
      <w:r>
        <w:rPr>
          <w:color w:val="000000" w:themeColor="text1"/>
        </w:rPr>
      </w:r>
    </w:p>
    <w:p>
      <w:pPr>
        <w:pStyle w:val="Default"/>
        <w:jc w:val="center"/>
        <w:rPr>
          <w:b/>
          <w:b/>
          <w:bCs/>
          <w:color w:val="000000" w:themeColor="text1"/>
        </w:rPr>
      </w:pPr>
      <w:r>
        <w:rPr>
          <w:b/>
          <w:bCs/>
          <w:color w:val="000000" w:themeColor="text1"/>
        </w:rPr>
        <w:t>Članak 8.</w:t>
      </w:r>
    </w:p>
    <w:p>
      <w:pPr>
        <w:pStyle w:val="Normal"/>
        <w:ind w:firstLine="705"/>
        <w:jc w:val="both"/>
        <w:rPr/>
      </w:pPr>
      <w:r>
        <w:rPr>
          <w:rFonts w:ascii="Times New Roman" w:hAnsi="Times New Roman"/>
          <w:bCs/>
          <w:color w:val="000000" w:themeColor="text1"/>
          <w:sz w:val="24"/>
          <w:szCs w:val="24"/>
        </w:rPr>
        <w:t xml:space="preserve">Postupke jednostavne nabave iz članaka 6. i 7. ovoga Pravilnika provodi </w:t>
      </w:r>
      <w:bookmarkStart w:id="44" w:name="_Hlk232245797"/>
      <w:r>
        <w:rPr>
          <w:rFonts w:ascii="Times New Roman" w:hAnsi="Times New Roman"/>
          <w:bCs/>
          <w:sz w:val="24"/>
          <w:szCs w:val="24"/>
        </w:rPr>
        <w:t>stručno povjerenstvo koje imenuje Općinski načelnik</w:t>
      </w:r>
      <w:bookmarkEnd w:id="44"/>
      <w:r>
        <w:rPr>
          <w:rFonts w:ascii="Times New Roman" w:hAnsi="Times New Roman"/>
          <w:bCs/>
          <w:color w:val="FF0000"/>
          <w:sz w:val="24"/>
          <w:szCs w:val="24"/>
        </w:rPr>
        <w:t xml:space="preserve">. </w:t>
      </w:r>
      <w:r>
        <w:rPr>
          <w:rFonts w:ascii="Times New Roman" w:hAnsi="Times New Roman"/>
          <w:bCs/>
          <w:color w:val="000000" w:themeColor="text1"/>
          <w:sz w:val="24"/>
          <w:szCs w:val="24"/>
        </w:rPr>
        <w:t>Stručno povjerenstvo sastoji se od najmanje dva člana. Stručno povjerenstvo izrađuje poziv na dostavu ponuda, sastavlja zapisnik o pregledu i ocjeni ponuda, prijedlog odluke o odabiru/poništenju, te prijedlog ugovora. Zapisnik o pregledu i ocjeni ponuda moraju potpisati najmanje dva člana stručnog povjerenstva.</w:t>
      </w:r>
    </w:p>
    <w:p>
      <w:pPr>
        <w:pStyle w:val="Normal"/>
        <w:ind w:firstLine="705"/>
        <w:jc w:val="both"/>
        <w:rPr>
          <w:rFonts w:ascii="Times New Roman" w:hAnsi="Times New Roman"/>
          <w:bCs/>
          <w:sz w:val="24"/>
          <w:szCs w:val="24"/>
        </w:rPr>
      </w:pPr>
      <w:r>
        <w:rPr>
          <w:rFonts w:ascii="Times New Roman" w:hAnsi="Times New Roman"/>
          <w:bCs/>
          <w:sz w:val="24"/>
          <w:szCs w:val="24"/>
        </w:rPr>
        <w:t>Poziv na dostavu ponuda sadrži najmanje sljedeće podatke: naziv predmeta nabave, opis predmeta nabave, procijenjena vrijednost nabave, evidencijski broj nabave, podatak o gospodarskim subjektima kojima se upućuje poziv na dostavu ponude (ako je primjenjivo), mjesto izvršenja ugovora, rok početka i završetka izvršenja ugovora i priloge (npr. troškovnik, tehničke specifikacije, projektni zadatak, projektni nacrt i sl.).</w:t>
      </w:r>
    </w:p>
    <w:p>
      <w:pPr>
        <w:pStyle w:val="Default"/>
        <w:jc w:val="both"/>
        <w:rPr>
          <w:b/>
          <w:b/>
          <w:color w:val="000000" w:themeColor="text1"/>
        </w:rPr>
      </w:pPr>
      <w:r>
        <w:rPr>
          <w:b/>
          <w:color w:val="000000" w:themeColor="text1"/>
        </w:rPr>
      </w:r>
    </w:p>
    <w:p>
      <w:pPr>
        <w:pStyle w:val="Default"/>
        <w:jc w:val="center"/>
        <w:rPr>
          <w:b/>
          <w:b/>
          <w:color w:val="000000" w:themeColor="text1"/>
        </w:rPr>
      </w:pPr>
      <w:r>
        <w:rPr>
          <w:b/>
          <w:color w:val="000000" w:themeColor="text1"/>
        </w:rPr>
        <w:t>Članak 9.</w:t>
      </w:r>
    </w:p>
    <w:p>
      <w:pPr>
        <w:pStyle w:val="Default"/>
        <w:ind w:firstLine="708"/>
        <w:jc w:val="both"/>
        <w:rPr/>
      </w:pPr>
      <w:r>
        <w:rPr>
          <w:bCs/>
          <w:color w:val="000000" w:themeColor="text1"/>
        </w:rPr>
        <w:t xml:space="preserve">Postupak započinje, ovisno o načinu provedbe, slanjem poziva na dostavu ponude gospodarskom subjektu ili subjektima putem modula jednostavne nabave EOJN RH ili javnom objavom poziva u modulu jednostavne nabave u EOJN RH. Prije započinjanja postupka, </w:t>
      </w:r>
      <w:r>
        <w:rPr>
          <w:bCs/>
          <w:color w:val="auto"/>
        </w:rPr>
        <w:t xml:space="preserve">Općinski načelnik </w:t>
      </w:r>
      <w:r>
        <w:rPr>
          <w:bCs/>
          <w:color w:val="000000" w:themeColor="text1"/>
        </w:rPr>
        <w:t>donosi odluku o imenovanju stručnog povjerenstva čijim donošenjem započinje postupak jednostavne nabave.</w:t>
      </w:r>
    </w:p>
    <w:p>
      <w:pPr>
        <w:pStyle w:val="Default"/>
        <w:ind w:firstLine="708"/>
        <w:jc w:val="both"/>
        <w:rPr/>
      </w:pPr>
      <w:r>
        <w:rPr>
          <w:color w:val="000000" w:themeColor="text1"/>
        </w:rPr>
        <w:t>Naručitelj može u pozivu na dostavu ponuda odrediti osnove za isključenje i uvjete sposobnosti gospodarskih subjekata, uvjete i zahtjeve po posebnim propisima, obvezu dostave određenih jamstava (jamstvo za ozbiljnost ponude, jamstvo za uredno ispunjenje ugovora, jamstvo za otklanjanje nedostataka u jamstvenom roku i jamstvo za pokriće odgovornosti iz djelatnosti), te ostale podatke potrebne za izradu i podnošenje ponude te provedbu postupka</w:t>
      </w:r>
    </w:p>
    <w:p>
      <w:pPr>
        <w:pStyle w:val="Default"/>
        <w:ind w:firstLine="708"/>
        <w:jc w:val="both"/>
        <w:rPr/>
      </w:pPr>
      <w:r>
        <w:rPr>
          <w:color w:val="000000" w:themeColor="text1"/>
        </w:rPr>
        <w:t>Pozivu se može priložiti i druga dokumentacija kao što su prijedlog ugovora, obrasci, predlošci zahtijevanih dokumenata, izjave, projekti, skice, nacrti i sl.</w:t>
      </w:r>
    </w:p>
    <w:p>
      <w:pPr>
        <w:pStyle w:val="Default"/>
        <w:jc w:val="both"/>
        <w:rPr>
          <w:strike/>
          <w:color w:val="FF0000"/>
        </w:rPr>
      </w:pPr>
      <w:r>
        <w:rPr>
          <w:strike/>
          <w:color w:val="FF0000"/>
        </w:rPr>
      </w:r>
    </w:p>
    <w:p>
      <w:pPr>
        <w:pStyle w:val="Default"/>
        <w:jc w:val="center"/>
        <w:rPr>
          <w:b/>
          <w:b/>
          <w:bCs/>
          <w:color w:val="000000" w:themeColor="text1"/>
        </w:rPr>
      </w:pPr>
      <w:r>
        <w:rPr>
          <w:b/>
          <w:bCs/>
          <w:color w:val="000000" w:themeColor="text1"/>
        </w:rPr>
        <w:t>Članak 10.</w:t>
      </w:r>
    </w:p>
    <w:p>
      <w:pPr>
        <w:pStyle w:val="Default"/>
        <w:ind w:firstLine="708"/>
        <w:jc w:val="both"/>
        <w:rPr/>
      </w:pPr>
      <w:r>
        <w:rPr>
          <w:color w:val="000000" w:themeColor="text1"/>
        </w:rPr>
        <w:t>Rok za dostavu ponuda iznosi najmanje 5 (pet) dana od dana dostave ili javne objave poziva na dostavu ponuda putem modula jednostavne nabave u EOJN RH. Iznimno, ako postoje opravdani razlozi vezani uz predmet nabave i rok provedbe jednostavne nabave, može se utvrditi kraći rok za dostavu ponuda.</w:t>
      </w:r>
    </w:p>
    <w:p>
      <w:pPr>
        <w:pStyle w:val="Default"/>
        <w:ind w:firstLine="708"/>
        <w:jc w:val="both"/>
        <w:rPr/>
      </w:pPr>
      <w:r>
        <w:rPr>
          <w:color w:val="000000" w:themeColor="text1"/>
        </w:rPr>
        <w:t>U roku za dostavu ponuda gospodarski subjekti mogu zatražiti dodatne informacije, objašnjenja ili izmjene u vezi poziva za dostavu ponuda.</w:t>
      </w:r>
    </w:p>
    <w:p>
      <w:pPr>
        <w:pStyle w:val="Default"/>
        <w:ind w:firstLine="708"/>
        <w:jc w:val="both"/>
        <w:rPr/>
      </w:pPr>
      <w:r>
        <w:rPr>
          <w:color w:val="000000" w:themeColor="text1"/>
        </w:rPr>
        <w:t>Dodatne informacije, odgovor, odnosno objašnjenje te izmjene vezane za poziv na dostavu ponuda, objavljuju se putem modula jednostavne nabave u EOJN RH, te po potrebi produljuje rok za dostavu ponuda.</w:t>
      </w:r>
    </w:p>
    <w:p>
      <w:pPr>
        <w:pStyle w:val="Default"/>
        <w:ind w:firstLine="708"/>
        <w:jc w:val="both"/>
        <w:rPr/>
      </w:pPr>
      <w:r>
        <w:rPr>
          <w:color w:val="000000" w:themeColor="text1"/>
        </w:rPr>
        <w:t>U pozivu na dostavu ponuda, ovisno o duljini roka za dostavu ponuda, naručitelj će propisati rok u kojemu se zahtjev/upit iz stavka 2. ovoga članka smatra pravodobnim i rok u kojemu je Naručitelj dužan odgovoriti na zahtjev/upit.</w:t>
      </w:r>
    </w:p>
    <w:p>
      <w:pPr>
        <w:pStyle w:val="Default"/>
        <w:ind w:firstLine="708"/>
        <w:jc w:val="both"/>
        <w:rPr/>
      </w:pPr>
      <w:r>
        <w:rPr>
          <w:color w:val="000000" w:themeColor="text1"/>
        </w:rPr>
        <w:t>Komunikacija i svaka druga razmjena informacija između naručitelja i gospodarskih subjekata obavlja se isključivo putem modula jednostavne nabave u EOJN RH.</w:t>
      </w:r>
    </w:p>
    <w:p>
      <w:pPr>
        <w:pStyle w:val="Default"/>
        <w:ind w:firstLine="708"/>
        <w:jc w:val="both"/>
        <w:rPr>
          <w:color w:val="000000" w:themeColor="text1"/>
        </w:rPr>
      </w:pPr>
      <w:r>
        <w:rPr>
          <w:color w:val="000000" w:themeColor="text1"/>
        </w:rPr>
      </w:r>
    </w:p>
    <w:p>
      <w:pPr>
        <w:pStyle w:val="Normal"/>
        <w:jc w:val="center"/>
        <w:rPr>
          <w:rFonts w:ascii="Times New Roman" w:hAnsi="Times New Roman"/>
          <w:b/>
          <w:b/>
          <w:bCs/>
          <w:sz w:val="24"/>
          <w:szCs w:val="24"/>
        </w:rPr>
      </w:pPr>
      <w:r>
        <w:rPr>
          <w:rFonts w:ascii="Times New Roman" w:hAnsi="Times New Roman"/>
          <w:b/>
          <w:bCs/>
          <w:sz w:val="24"/>
          <w:szCs w:val="24"/>
        </w:rPr>
        <w:t>Članak 11.</w:t>
      </w:r>
    </w:p>
    <w:p>
      <w:pPr>
        <w:pStyle w:val="Normal"/>
        <w:jc w:val="both"/>
        <w:rPr/>
      </w:pPr>
      <w:r>
        <w:rPr>
          <w:rFonts w:ascii="Times New Roman" w:hAnsi="Times New Roman"/>
          <w:sz w:val="24"/>
          <w:szCs w:val="24"/>
        </w:rPr>
        <w:tab/>
        <w:t>Pri izradi ponude gospodarski subjekt mora se pridržavati zahtjeva i uvjeta iz poziva za dostavu ponuda i ne smije ih mijenjati ili nadopunjavati.</w:t>
      </w:r>
    </w:p>
    <w:p>
      <w:pPr>
        <w:pStyle w:val="Normal"/>
        <w:jc w:val="both"/>
        <w:rPr/>
      </w:pPr>
      <w:r>
        <w:rPr>
          <w:rFonts w:ascii="Times New Roman" w:hAnsi="Times New Roman"/>
          <w:sz w:val="24"/>
          <w:szCs w:val="24"/>
        </w:rPr>
        <w:t>U roku za dostavu ponuda gospodarski subjekt može izmijeniti svoju ponudu, nadopuniti je ili od nje odustati.</w:t>
      </w:r>
    </w:p>
    <w:p>
      <w:pPr>
        <w:pStyle w:val="Normal"/>
        <w:jc w:val="both"/>
        <w:rPr/>
      </w:pPr>
      <w:r>
        <w:rPr>
          <w:rFonts w:ascii="Times New Roman" w:hAnsi="Times New Roman"/>
          <w:sz w:val="24"/>
          <w:szCs w:val="24"/>
        </w:rPr>
        <w:t>Na zahtjev naručitelja ponuditelj može produžiti rok valjanosti svoje ponude.</w:t>
      </w:r>
    </w:p>
    <w:p>
      <w:pPr>
        <w:pStyle w:val="Normal"/>
        <w:jc w:val="center"/>
        <w:rPr>
          <w:rFonts w:ascii="Times New Roman" w:hAnsi="Times New Roman"/>
          <w:b/>
          <w:b/>
          <w:bCs/>
          <w:sz w:val="24"/>
          <w:szCs w:val="24"/>
        </w:rPr>
      </w:pPr>
      <w:r>
        <w:rPr>
          <w:rFonts w:ascii="Times New Roman" w:hAnsi="Times New Roman"/>
          <w:b/>
          <w:bCs/>
          <w:sz w:val="24"/>
          <w:szCs w:val="24"/>
        </w:rPr>
        <w:t xml:space="preserve"> </w:t>
      </w:r>
    </w:p>
    <w:p>
      <w:pPr>
        <w:pStyle w:val="Normal"/>
        <w:jc w:val="center"/>
        <w:rPr>
          <w:rFonts w:ascii="Times New Roman" w:hAnsi="Times New Roman"/>
          <w:b/>
          <w:b/>
          <w:bCs/>
          <w:sz w:val="24"/>
          <w:szCs w:val="24"/>
        </w:rPr>
      </w:pPr>
      <w:r>
        <w:rPr>
          <w:rFonts w:ascii="Times New Roman" w:hAnsi="Times New Roman"/>
          <w:b/>
          <w:bCs/>
          <w:sz w:val="24"/>
          <w:szCs w:val="24"/>
        </w:rPr>
        <w:t>Članak 12.</w:t>
      </w:r>
    </w:p>
    <w:p>
      <w:pPr>
        <w:pStyle w:val="Normal"/>
        <w:jc w:val="both"/>
        <w:rPr/>
      </w:pPr>
      <w:r>
        <w:rPr>
          <w:rFonts w:ascii="Times New Roman" w:hAnsi="Times New Roman"/>
          <w:sz w:val="24"/>
          <w:szCs w:val="24"/>
        </w:rPr>
        <w:tab/>
        <w:t>Ponude se dostavljaju elektronički, putem modula jednostavne nabave u EOJN RH.</w:t>
      </w:r>
    </w:p>
    <w:p>
      <w:pPr>
        <w:pStyle w:val="Normal"/>
        <w:jc w:val="both"/>
        <w:rPr/>
      </w:pPr>
      <w:r>
        <w:rPr>
          <w:rFonts w:ascii="Times New Roman" w:hAnsi="Times New Roman"/>
          <w:sz w:val="24"/>
          <w:szCs w:val="24"/>
        </w:rPr>
        <w:t>Ako je pozivom predviđena dostava dijelova ponude koji se ne mogu dostaviti elektronički (npr. jamstva, uzorci), isti se dostavljaju odvojeno, putem pošte ili osobnom dostavom.</w:t>
      </w:r>
    </w:p>
    <w:p>
      <w:pPr>
        <w:pStyle w:val="Normal"/>
        <w:jc w:val="both"/>
        <w:rPr/>
      </w:pPr>
      <w:r>
        <w:rPr>
          <w:rFonts w:ascii="Times New Roman" w:hAnsi="Times New Roman"/>
          <w:sz w:val="24"/>
          <w:szCs w:val="24"/>
        </w:rPr>
        <w:t xml:space="preserve">Otvaranje ponuda nije javno. </w:t>
      </w:r>
    </w:p>
    <w:p>
      <w:pPr>
        <w:pStyle w:val="Normal"/>
        <w:ind w:firstLine="708"/>
        <w:jc w:val="both"/>
        <w:rPr/>
      </w:pPr>
      <w:r>
        <w:rPr>
          <w:rFonts w:ascii="Times New Roman" w:hAnsi="Times New Roman"/>
          <w:sz w:val="24"/>
          <w:szCs w:val="24"/>
        </w:rPr>
        <w:t>Ponude koje nisu pristigle u roku i na način propisan pozivom na dostavu ponuda ne uzimaju se u obzir.</w:t>
      </w:r>
    </w:p>
    <w:p>
      <w:pPr>
        <w:pStyle w:val="Normal"/>
        <w:ind w:firstLine="708"/>
        <w:jc w:val="both"/>
        <w:rPr/>
      </w:pPr>
      <w:r>
        <w:rPr>
          <w:rFonts w:ascii="Times New Roman" w:hAnsi="Times New Roman"/>
          <w:sz w:val="24"/>
          <w:szCs w:val="24"/>
        </w:rPr>
        <w:t>Odvojeni dijelovi ponude koji ne pristignu na adresu Naručitelja u propisanom roku ne uzimaju se u obzir, nego se neotvoreni vraćaju ponuditeljima uz dokaz da su bili zaprimljeni nakon isteka roka za dostavu ponuda.</w:t>
      </w:r>
    </w:p>
    <w:p>
      <w:pPr>
        <w:pStyle w:val="Normal"/>
        <w:jc w:val="center"/>
        <w:rPr>
          <w:rFonts w:ascii="Times New Roman" w:hAnsi="Times New Roman"/>
          <w:b/>
          <w:b/>
          <w:bCs/>
          <w:sz w:val="24"/>
          <w:szCs w:val="24"/>
        </w:rPr>
      </w:pPr>
      <w:r>
        <w:rPr>
          <w:rFonts w:ascii="Times New Roman" w:hAnsi="Times New Roman"/>
          <w:b/>
          <w:bCs/>
          <w:sz w:val="24"/>
          <w:szCs w:val="24"/>
        </w:rPr>
        <w:t>Članak 13.</w:t>
      </w:r>
    </w:p>
    <w:p>
      <w:pPr>
        <w:pStyle w:val="Normal"/>
        <w:ind w:firstLine="708"/>
        <w:jc w:val="both"/>
        <w:rPr/>
      </w:pPr>
      <w:r>
        <w:rPr>
          <w:rFonts w:ascii="Times New Roman" w:hAnsi="Times New Roman"/>
          <w:sz w:val="24"/>
          <w:szCs w:val="24"/>
        </w:rPr>
        <w:t>Ponude dostavljene u propisanom roku pregledat će se i ocijeniti na temelju uvjeta i zahtjeva iz poziva na dostavu ponuda, te gradonačelniku predložiti odabir ponude ili poništenje postupka.</w:t>
      </w:r>
    </w:p>
    <w:p>
      <w:pPr>
        <w:pStyle w:val="Normal"/>
        <w:ind w:firstLine="708"/>
        <w:jc w:val="both"/>
        <w:rPr/>
      </w:pPr>
      <w:r>
        <w:rPr>
          <w:rFonts w:ascii="Times New Roman" w:hAnsi="Times New Roman"/>
          <w:sz w:val="24"/>
          <w:szCs w:val="24"/>
        </w:rPr>
        <w:t>Pregled i ocjenu ponuda obavljaju članovi stručnog povjerenstva za jednostavnu nabavu o čemu se sastavlja zapisnik o pregledu i ocjeni ponuda. Tijekom pregleda i ocjene ponuda, ukoliko je primjenjivo, povjerenstvo može tražiti  pojašnjenja ponude, prihvat računske greške, dostavu dokaza, dodatnu dokumentaciju, produljenje roka valjanosti ponude i dr.</w:t>
      </w:r>
    </w:p>
    <w:p>
      <w:pPr>
        <w:pStyle w:val="Normal"/>
        <w:ind w:firstLine="708"/>
        <w:jc w:val="both"/>
        <w:rPr/>
      </w:pPr>
      <w:r>
        <w:rPr>
          <w:rFonts w:ascii="Times New Roman" w:hAnsi="Times New Roman"/>
          <w:sz w:val="24"/>
          <w:szCs w:val="24"/>
        </w:rPr>
        <w:t>Zapisnik o pregledu i ocjeni ponuda sadrži najmanje analitički prikaz zaprimljenih ponuda sukladno uvjetima i zahtjevima iz poziva za dostavu ponuda, rangiranje valjanih ponuda prema kriteriju za odabir, te prijedlog odabira (najpovoljnije) ponude ili poništenje postupka.</w:t>
      </w:r>
    </w:p>
    <w:p>
      <w:pPr>
        <w:pStyle w:val="Normal"/>
        <w:ind w:firstLine="708"/>
        <w:jc w:val="both"/>
        <w:rPr/>
      </w:pPr>
      <w:r>
        <w:rPr>
          <w:rFonts w:ascii="Times New Roman" w:hAnsi="Times New Roman"/>
          <w:bCs/>
          <w:sz w:val="24"/>
          <w:szCs w:val="24"/>
        </w:rPr>
        <w:t>Zapisnik potpisuju članovi stručnog povjerenstva za jednostavnu nabavu koji su proveli pregled i ocjenu ponuda.</w:t>
      </w:r>
    </w:p>
    <w:p>
      <w:pPr>
        <w:pStyle w:val="Normal"/>
        <w:ind w:firstLine="708"/>
        <w:jc w:val="both"/>
        <w:rPr/>
      </w:pPr>
      <w:r>
        <w:rPr>
          <w:rFonts w:ascii="Times New Roman" w:hAnsi="Times New Roman"/>
          <w:bCs/>
          <w:sz w:val="24"/>
          <w:szCs w:val="24"/>
        </w:rPr>
        <w:t xml:space="preserve">Javni naručitelj obvezan je odbiti ponudu za koju, na temelju rezultata pregleda i ocjene ponuda, utvrdi da je nevaljana. </w:t>
      </w:r>
    </w:p>
    <w:p>
      <w:pPr>
        <w:pStyle w:val="Normal"/>
        <w:rPr>
          <w:rFonts w:ascii="Times New Roman" w:hAnsi="Times New Roman"/>
          <w:bCs/>
          <w:sz w:val="24"/>
          <w:szCs w:val="24"/>
        </w:rPr>
      </w:pPr>
      <w:r>
        <w:rPr>
          <w:rFonts w:ascii="Times New Roman" w:hAnsi="Times New Roman"/>
          <w:bCs/>
          <w:sz w:val="24"/>
          <w:szCs w:val="24"/>
        </w:rPr>
      </w:r>
    </w:p>
    <w:p>
      <w:pPr>
        <w:pStyle w:val="Normal"/>
        <w:jc w:val="center"/>
        <w:rPr>
          <w:rFonts w:ascii="Times New Roman" w:hAnsi="Times New Roman"/>
          <w:b/>
          <w:b/>
          <w:bCs/>
          <w:sz w:val="24"/>
          <w:szCs w:val="24"/>
        </w:rPr>
      </w:pPr>
      <w:r>
        <w:rPr>
          <w:rFonts w:ascii="Times New Roman" w:hAnsi="Times New Roman"/>
          <w:b/>
          <w:bCs/>
          <w:sz w:val="24"/>
          <w:szCs w:val="24"/>
        </w:rPr>
        <w:t>Članak 14.</w:t>
      </w:r>
    </w:p>
    <w:p>
      <w:pPr>
        <w:pStyle w:val="Normal"/>
        <w:jc w:val="both"/>
        <w:rPr/>
      </w:pPr>
      <w:r>
        <w:rPr>
          <w:rFonts w:ascii="Times New Roman" w:hAnsi="Times New Roman"/>
          <w:sz w:val="24"/>
          <w:szCs w:val="24"/>
        </w:rPr>
        <w:tab/>
        <w:t>Za odabir ponude dovoljna je jedna pristigla ponuda koja udovoljava svim traženim uvjetima i zahtjevima iz poziva na dostavu ponuda (valjana ponuda).</w:t>
      </w:r>
    </w:p>
    <w:p>
      <w:pPr>
        <w:pStyle w:val="Normal"/>
        <w:ind w:firstLine="708"/>
        <w:jc w:val="both"/>
        <w:rPr/>
      </w:pPr>
      <w:r>
        <w:rPr>
          <w:rFonts w:ascii="Times New Roman" w:hAnsi="Times New Roman"/>
          <w:sz w:val="24"/>
          <w:szCs w:val="24"/>
        </w:rPr>
        <w:t xml:space="preserve">Odluku o odabiru ponude ili </w:t>
      </w:r>
      <w:r>
        <w:rPr>
          <w:rFonts w:cs="Times New Roman" w:ascii="Times New Roman" w:hAnsi="Times New Roman"/>
          <w:sz w:val="24"/>
          <w:szCs w:val="24"/>
        </w:rPr>
        <w:t xml:space="preserve">poništenju postupka donosi </w:t>
      </w:r>
      <w:r>
        <w:rPr>
          <w:rFonts w:cs="Times New Roman" w:ascii="Times New Roman" w:hAnsi="Times New Roman"/>
          <w:bCs/>
          <w:sz w:val="24"/>
          <w:szCs w:val="24"/>
        </w:rPr>
        <w:t xml:space="preserve">Općinski načelnik </w:t>
      </w:r>
      <w:r>
        <w:rPr>
          <w:rFonts w:cs="Times New Roman" w:ascii="Times New Roman" w:hAnsi="Times New Roman"/>
          <w:sz w:val="24"/>
          <w:szCs w:val="24"/>
        </w:rPr>
        <w:t>u roku od 30 (trideset) dana od isteka roka za dostavu ponude, osim ako se postupak poništava prije isteka roka za dostavu ponuda. Naručitelj može</w:t>
      </w:r>
      <w:r>
        <w:rPr>
          <w:rFonts w:ascii="Times New Roman" w:hAnsi="Times New Roman"/>
          <w:sz w:val="24"/>
          <w:szCs w:val="24"/>
        </w:rPr>
        <w:t xml:space="preserve"> u Pozivu na dostavu ponuda odrediti i duži rok za donošenje odluke.</w:t>
      </w:r>
    </w:p>
    <w:p>
      <w:pPr>
        <w:pStyle w:val="Normal"/>
        <w:ind w:firstLine="708"/>
        <w:jc w:val="both"/>
        <w:rPr/>
      </w:pPr>
      <w:r>
        <w:rPr>
          <w:rFonts w:ascii="Times New Roman" w:hAnsi="Times New Roman"/>
          <w:sz w:val="24"/>
          <w:szCs w:val="24"/>
        </w:rPr>
        <w:t>Ako su dvije ili više valjanih ponuda jednako rangirane prema kriteriju za odabir ponude, odabrat će se ponuda koja je zaprimljena ranije.</w:t>
      </w:r>
    </w:p>
    <w:p>
      <w:pPr>
        <w:pStyle w:val="Normal"/>
        <w:jc w:val="both"/>
        <w:rPr/>
      </w:pPr>
      <w:r>
        <w:rPr>
          <w:rFonts w:ascii="Times New Roman" w:hAnsi="Times New Roman"/>
          <w:sz w:val="24"/>
          <w:szCs w:val="24"/>
        </w:rPr>
        <w:tab/>
        <w:t>Odluka o odabiru obvezno sadrži: podatke o naručitelju, predmet nabave, naziv ponuditelja čija je ponuda odabrana za sklapanje ugovora o nabavi, razloge odabira, cijenu odabrane ponude, datum donošenja, potpis odgovorne osobe, te uputu o pravnom lijeku.</w:t>
      </w:r>
    </w:p>
    <w:p>
      <w:pPr>
        <w:pStyle w:val="Default"/>
        <w:ind w:firstLine="360"/>
        <w:jc w:val="both"/>
        <w:rPr/>
      </w:pPr>
      <w:r>
        <w:rPr>
          <w:color w:val="auto"/>
        </w:rPr>
        <w:t xml:space="preserve">Općinski načelnik </w:t>
      </w:r>
      <w:r>
        <w:rPr>
          <w:color w:val="000000" w:themeColor="text1"/>
        </w:rPr>
        <w:t>će poništiti postupak jednostavne nabave:</w:t>
      </w:r>
    </w:p>
    <w:p>
      <w:pPr>
        <w:pStyle w:val="Default"/>
        <w:numPr>
          <w:ilvl w:val="0"/>
          <w:numId w:val="5"/>
        </w:numPr>
        <w:jc w:val="both"/>
        <w:rPr/>
      </w:pPr>
      <w:r>
        <w:rPr>
          <w:color w:val="000000" w:themeColor="text1"/>
        </w:rPr>
        <w:t>ako postanu poznate okolnosti zbog kojih ne bi došlo do pokretanja postupka jednostavne nabave da su iste bile poznate prije pokretanja postupka,</w:t>
      </w:r>
    </w:p>
    <w:p>
      <w:pPr>
        <w:pStyle w:val="Default"/>
        <w:numPr>
          <w:ilvl w:val="0"/>
          <w:numId w:val="5"/>
        </w:numPr>
        <w:jc w:val="both"/>
        <w:rPr/>
      </w:pPr>
      <w:r>
        <w:rPr>
          <w:color w:val="000000" w:themeColor="text1"/>
        </w:rPr>
        <w:t>ako postanu poznate okolnosti zbog kojih bi došlo do sadržajno bitno drugačijeg poziva za dostavu ponuda da su iste bile poznate prije pokretanja postupka,</w:t>
      </w:r>
    </w:p>
    <w:p>
      <w:pPr>
        <w:pStyle w:val="Default"/>
        <w:numPr>
          <w:ilvl w:val="0"/>
          <w:numId w:val="5"/>
        </w:numPr>
        <w:jc w:val="both"/>
        <w:rPr/>
      </w:pPr>
      <w:r>
        <w:rPr>
          <w:color w:val="000000" w:themeColor="text1"/>
        </w:rPr>
        <w:t>ako nije pristigla niti jedna ponuda,</w:t>
      </w:r>
    </w:p>
    <w:p>
      <w:pPr>
        <w:pStyle w:val="Default"/>
        <w:numPr>
          <w:ilvl w:val="0"/>
          <w:numId w:val="5"/>
        </w:numPr>
        <w:jc w:val="both"/>
        <w:rPr/>
      </w:pPr>
      <w:r>
        <w:rPr>
          <w:color w:val="000000" w:themeColor="text1"/>
        </w:rPr>
        <w:t>ako nakon odbijanja ponuda ili isključenja ponuditelja ne preostane nijedna valjana ponuda,</w:t>
      </w:r>
    </w:p>
    <w:p>
      <w:pPr>
        <w:pStyle w:val="Default"/>
        <w:numPr>
          <w:ilvl w:val="0"/>
          <w:numId w:val="5"/>
        </w:numPr>
        <w:jc w:val="both"/>
        <w:rPr/>
      </w:pPr>
      <w:r>
        <w:rPr>
          <w:color w:val="000000" w:themeColor="text1"/>
        </w:rPr>
        <w:t>ako je cijena najpovoljnije ponude veća od procijenjene vrijednosti nabave, osim ako naručitelj ima ili će imati osigurana sredstva,</w:t>
      </w:r>
    </w:p>
    <w:p>
      <w:pPr>
        <w:pStyle w:val="Default"/>
        <w:numPr>
          <w:ilvl w:val="0"/>
          <w:numId w:val="5"/>
        </w:numPr>
        <w:jc w:val="both"/>
        <w:rPr>
          <w:color w:val="000000" w:themeColor="text1"/>
        </w:rPr>
      </w:pPr>
      <w:r>
        <w:rPr>
          <w:color w:val="000000" w:themeColor="text1"/>
        </w:rPr>
        <w:t xml:space="preserve">je cijena najpovoljnije ponude u postupku jednostavne nabave jednaka ili veća od pragova za primjenu ZJN 2016 iz čl. 12. ZJN 2016, </w:t>
      </w:r>
    </w:p>
    <w:p>
      <w:pPr>
        <w:pStyle w:val="Default"/>
        <w:numPr>
          <w:ilvl w:val="0"/>
          <w:numId w:val="5"/>
        </w:numPr>
        <w:jc w:val="both"/>
        <w:rPr>
          <w:color w:val="000000" w:themeColor="text1"/>
        </w:rPr>
      </w:pPr>
      <w:r>
        <w:rPr>
          <w:color w:val="000000" w:themeColor="text1"/>
        </w:rPr>
        <w:t>ako najpovoljnija ponuda svojom cijenom prelazi pragove iz članka 4. ovoga Pravilnika koji zahtijevaju obveznu javnu objavu poziva, a postupak je proveden slanjem poziva samo određenim subjektima,</w:t>
      </w:r>
    </w:p>
    <w:p>
      <w:pPr>
        <w:pStyle w:val="Default"/>
        <w:numPr>
          <w:ilvl w:val="0"/>
          <w:numId w:val="5"/>
        </w:numPr>
        <w:jc w:val="both"/>
        <w:rPr>
          <w:color w:val="000000" w:themeColor="text1"/>
        </w:rPr>
      </w:pPr>
      <w:r>
        <w:rPr>
          <w:color w:val="000000" w:themeColor="text1"/>
        </w:rPr>
        <w:t>ako je to potrebno radi zaštite javnog interesa,</w:t>
      </w:r>
    </w:p>
    <w:p>
      <w:pPr>
        <w:pStyle w:val="Default"/>
        <w:numPr>
          <w:ilvl w:val="0"/>
          <w:numId w:val="5"/>
        </w:numPr>
        <w:jc w:val="both"/>
        <w:rPr>
          <w:color w:val="000000" w:themeColor="text1"/>
        </w:rPr>
      </w:pPr>
      <w:r>
        <w:rPr>
          <w:color w:val="000000" w:themeColor="text1"/>
        </w:rPr>
        <w:t>i iz drugih opravdanih razloga.</w:t>
      </w:r>
    </w:p>
    <w:p>
      <w:pPr>
        <w:pStyle w:val="Normal"/>
        <w:rPr>
          <w:rFonts w:ascii="Times New Roman" w:hAnsi="Times New Roman"/>
          <w:sz w:val="24"/>
          <w:szCs w:val="24"/>
        </w:rPr>
      </w:pPr>
      <w:r>
        <w:rPr>
          <w:rFonts w:ascii="Times New Roman" w:hAnsi="Times New Roman"/>
          <w:sz w:val="24"/>
          <w:szCs w:val="24"/>
        </w:rPr>
        <w:tab/>
        <w:t>Odluka o poništenju postupka, obvezno sadrži: podatke o naručitelju, predmet nabave, obrazloženje razloga poništenja, datum donošenja i potpis odgovorne osobe, te uputu o pravnom lijeku.</w:t>
      </w:r>
    </w:p>
    <w:p>
      <w:pPr>
        <w:pStyle w:val="Normal"/>
        <w:jc w:val="both"/>
        <w:rPr/>
      </w:pPr>
      <w:r>
        <w:rPr>
          <w:rFonts w:ascii="Times New Roman" w:hAnsi="Times New Roman"/>
          <w:sz w:val="24"/>
          <w:szCs w:val="24"/>
        </w:rPr>
        <w:tab/>
        <w:t>Odluku o odabiru/poništenju i ugovor o nabavi potpisuje Općinski načelnik .</w:t>
      </w:r>
    </w:p>
    <w:p>
      <w:pPr>
        <w:pStyle w:val="Normal"/>
        <w:jc w:val="both"/>
        <w:rPr/>
      </w:pPr>
      <w:r>
        <w:rPr>
          <w:rFonts w:ascii="Times New Roman" w:hAnsi="Times New Roman"/>
          <w:sz w:val="24"/>
          <w:szCs w:val="24"/>
        </w:rPr>
        <w:tab/>
        <w:t>Odluka o odabiru ili poništenju dostavlja se ponuditeljima putem EOJN RH.</w:t>
      </w:r>
    </w:p>
    <w:p>
      <w:pPr>
        <w:pStyle w:val="Default"/>
        <w:ind w:firstLine="708"/>
        <w:jc w:val="both"/>
        <w:rPr/>
      </w:pPr>
      <w:r>
        <w:rPr>
          <w:color w:val="000000" w:themeColor="text1"/>
        </w:rPr>
        <w:t>Ponuditelj može putem EOJN RH, po objavi odluke, tražiti uvid u ponudu i druge dijelove dokumentacije. Naručitelj odobrava ili odbija zahtjev za uvidom putem EOJN RH.</w:t>
      </w:r>
    </w:p>
    <w:p>
      <w:pPr>
        <w:pStyle w:val="Default"/>
        <w:jc w:val="center"/>
        <w:rPr>
          <w:b/>
          <w:b/>
          <w:color w:val="000000" w:themeColor="text1"/>
        </w:rPr>
      </w:pPr>
      <w:r>
        <w:rPr>
          <w:b/>
          <w:color w:val="000000" w:themeColor="text1"/>
        </w:rPr>
        <w:t>Članak 15.</w:t>
      </w:r>
    </w:p>
    <w:p>
      <w:pPr>
        <w:pStyle w:val="Default"/>
        <w:ind w:firstLine="708"/>
        <w:jc w:val="both"/>
        <w:rPr/>
      </w:pPr>
      <w:r>
        <w:rPr>
          <w:color w:val="000000" w:themeColor="text1"/>
        </w:rPr>
        <w:t>Kriterij za odabir ponude je mjerilo za rangiranje valjanih ponuda i odabir najpovoljnije ponude, a može biti najniža cijena ponude ili ekonomski najpovoljnija ponuda.</w:t>
      </w:r>
    </w:p>
    <w:p>
      <w:pPr>
        <w:pStyle w:val="Default"/>
        <w:ind w:firstLine="708"/>
        <w:jc w:val="both"/>
        <w:rPr/>
      </w:pPr>
      <w:r>
        <w:rPr>
          <w:color w:val="000000" w:themeColor="text1"/>
        </w:rPr>
        <w:t>Ukoliko je kriterij odabira ekonomski najpovoljnija ponuda, osim kriterija cijene mogu se vrednovati i neki drugi kriteriji kao što su kvaliteta, tehnička vrijednost, estetske i funkcionalne značajke, društvene, okolišne i inovativne značajke, usluga nakon predaje i tehnička pomoć, uvjeti isporuke, rok isporuke ili izvršenja, organizacija, kvalifikacije i iskustvo osoblja angažiranog na izvršenju određenog ugovora, ako kvaliteta angažiranog osoblja može značajno utjecati na razinu uspješnosti ugovora i drugo.</w:t>
      </w:r>
    </w:p>
    <w:p>
      <w:pPr>
        <w:pStyle w:val="Default"/>
        <w:ind w:firstLine="708"/>
        <w:jc w:val="both"/>
        <w:rPr/>
      </w:pPr>
      <w:r>
        <w:rPr>
          <w:color w:val="000000" w:themeColor="text1"/>
        </w:rPr>
        <w:t>Ukoliko se primjenjuje kriterij ekonomski najpovoljnije ponude, u pozivu na dostavu ponude moraju se detaljno razraditi i obrazložiti kriteriji.</w:t>
      </w:r>
    </w:p>
    <w:p>
      <w:pPr>
        <w:pStyle w:val="Default"/>
        <w:ind w:firstLine="708"/>
        <w:jc w:val="both"/>
        <w:rPr/>
      </w:pPr>
      <w:r>
        <w:rPr>
          <w:color w:val="000000" w:themeColor="text1"/>
        </w:rPr>
        <w:t>Naručitelj uspoređuje cijene ponuda bez poreza na dodanu vrijednost.</w:t>
      </w:r>
    </w:p>
    <w:p>
      <w:pPr>
        <w:pStyle w:val="Default"/>
        <w:jc w:val="both"/>
        <w:rPr>
          <w:b/>
          <w:b/>
          <w:color w:val="000000" w:themeColor="text1"/>
        </w:rPr>
      </w:pPr>
      <w:r>
        <w:rPr>
          <w:b/>
          <w:color w:val="000000" w:themeColor="text1"/>
        </w:rPr>
      </w:r>
    </w:p>
    <w:p>
      <w:pPr>
        <w:pStyle w:val="Default"/>
        <w:jc w:val="center"/>
        <w:rPr>
          <w:b/>
          <w:b/>
          <w:color w:val="000000" w:themeColor="text1"/>
        </w:rPr>
      </w:pPr>
      <w:r>
        <w:rPr>
          <w:b/>
          <w:color w:val="000000" w:themeColor="text1"/>
        </w:rPr>
        <w:t>Članak 16.</w:t>
      </w:r>
    </w:p>
    <w:p>
      <w:pPr>
        <w:pStyle w:val="Normal"/>
        <w:ind w:firstLine="708"/>
        <w:jc w:val="both"/>
        <w:rPr/>
      </w:pPr>
      <w:r>
        <w:rPr>
          <w:rFonts w:ascii="Times New Roman" w:hAnsi="Times New Roman"/>
          <w:sz w:val="24"/>
          <w:szCs w:val="24"/>
        </w:rPr>
        <w:t>U postupcima jednostavne nabave čija je procijenjena vrijednost veća od 15.000,00 eura ponuditelj koji je pretrpio ili bi mogao pretrpjeti štetu od navodnoga kršenja subjektivnih prava ima pravo uložiti prigovor Općinskom načelniku .</w:t>
      </w:r>
    </w:p>
    <w:p>
      <w:pPr>
        <w:pStyle w:val="Normal"/>
        <w:ind w:firstLine="708"/>
        <w:jc w:val="both"/>
        <w:rPr/>
      </w:pPr>
      <w:r>
        <w:rPr>
          <w:rFonts w:ascii="Times New Roman" w:hAnsi="Times New Roman"/>
          <w:sz w:val="24"/>
          <w:szCs w:val="24"/>
        </w:rPr>
        <w:t>Prigovor se podnosi u roku od 3 (tri) radna dana od dana dostave odluke o odabiru ili poništenju postupka u pisanom obliku i dostavlja putem modula jednostavne nabave EOJN RH.</w:t>
      </w:r>
    </w:p>
    <w:p>
      <w:pPr>
        <w:pStyle w:val="Normal"/>
        <w:ind w:firstLine="708"/>
        <w:jc w:val="both"/>
        <w:rPr/>
      </w:pPr>
      <w:r>
        <w:rPr>
          <w:rFonts w:ascii="Times New Roman" w:hAnsi="Times New Roman"/>
          <w:sz w:val="24"/>
          <w:szCs w:val="24"/>
        </w:rPr>
        <w:t>Prigovor mora sadržavati najmanje: podatke o gospodarskom subjektu koji podnosi prigovor, naziv postupka jednostavne nabave ili evidencijski broj nabave, razloge prigovora i obrazloženje, te prijedlog načina otklanjanja navodne nepravilnosti.</w:t>
      </w:r>
    </w:p>
    <w:p>
      <w:pPr>
        <w:pStyle w:val="Normal"/>
        <w:ind w:firstLine="708"/>
        <w:jc w:val="both"/>
        <w:rPr/>
      </w:pPr>
      <w:r>
        <w:rPr>
          <w:rFonts w:ascii="Times New Roman" w:hAnsi="Times New Roman"/>
          <w:sz w:val="24"/>
          <w:szCs w:val="24"/>
        </w:rPr>
        <w:t>Pravodobno podnesen prigovor na odluku o odabiru sprječava sklapanje ugovora o nabavi sve do donošenja odluke o prigovoru.</w:t>
      </w:r>
    </w:p>
    <w:p>
      <w:pPr>
        <w:pStyle w:val="Normal"/>
        <w:ind w:firstLine="708"/>
        <w:jc w:val="both"/>
        <w:rPr/>
      </w:pPr>
      <w:r>
        <w:rPr>
          <w:rFonts w:ascii="Times New Roman" w:hAnsi="Times New Roman"/>
          <w:sz w:val="24"/>
          <w:szCs w:val="24"/>
        </w:rPr>
        <w:t>O prigovoru odlučuje Općinski načelnik najkasnije  u roku od deset dana od dana podnošenja istog.</w:t>
      </w:r>
    </w:p>
    <w:p>
      <w:pPr>
        <w:pStyle w:val="Normal"/>
        <w:ind w:firstLine="708"/>
        <w:jc w:val="both"/>
        <w:rPr/>
      </w:pPr>
      <w:r>
        <w:rPr>
          <w:rFonts w:ascii="Times New Roman" w:hAnsi="Times New Roman"/>
          <w:sz w:val="24"/>
          <w:szCs w:val="24"/>
        </w:rPr>
        <w:t xml:space="preserve"> </w:t>
      </w:r>
      <w:r>
        <w:rPr>
          <w:rFonts w:ascii="Times New Roman" w:hAnsi="Times New Roman"/>
          <w:sz w:val="24"/>
          <w:szCs w:val="24"/>
        </w:rPr>
        <w:t>U postupku odlučivanja o prigovoru Općinski načelnik može:</w:t>
      </w:r>
    </w:p>
    <w:p>
      <w:pPr>
        <w:pStyle w:val="Normal"/>
        <w:jc w:val="both"/>
        <w:rPr/>
      </w:pPr>
      <w:r>
        <w:rPr>
          <w:rFonts w:ascii="Times New Roman" w:hAnsi="Times New Roman"/>
          <w:sz w:val="24"/>
          <w:szCs w:val="24"/>
        </w:rPr>
        <w:t>- odbaciti prigovor koji je nepravodoban, nedopušten ili izjavljen od neovlaštene osobe,</w:t>
      </w:r>
    </w:p>
    <w:p>
      <w:pPr>
        <w:pStyle w:val="Normal"/>
        <w:jc w:val="both"/>
        <w:rPr/>
      </w:pPr>
      <w:r>
        <w:rPr>
          <w:rFonts w:ascii="Times New Roman" w:hAnsi="Times New Roman"/>
          <w:sz w:val="24"/>
          <w:szCs w:val="24"/>
        </w:rPr>
        <w:t>- odbiti prigovor kao neosnovan,</w:t>
      </w:r>
    </w:p>
    <w:p>
      <w:pPr>
        <w:pStyle w:val="Normal"/>
        <w:jc w:val="both"/>
        <w:rPr/>
      </w:pPr>
      <w:r>
        <w:rPr>
          <w:rFonts w:ascii="Times New Roman" w:hAnsi="Times New Roman"/>
          <w:sz w:val="24"/>
          <w:szCs w:val="24"/>
        </w:rPr>
        <w:t>- usvojiti prigovor, te poništiti odluku o odabiru ili poništenju postupka, nakon čega će se provesti ponovni postupak pregleda i ocjene ponuda i donijeti nova odluka o odabiru ili poništenju postupka</w:t>
      </w:r>
    </w:p>
    <w:p>
      <w:pPr>
        <w:pStyle w:val="Normal"/>
        <w:ind w:firstLine="708"/>
        <w:jc w:val="both"/>
        <w:rPr/>
      </w:pPr>
      <w:r>
        <w:rPr>
          <w:rFonts w:ascii="Times New Roman" w:hAnsi="Times New Roman"/>
          <w:sz w:val="24"/>
          <w:szCs w:val="24"/>
        </w:rPr>
        <w:t>Protiv odluke o prigovoru žalba nije dopuštena.</w:t>
      </w:r>
    </w:p>
    <w:p>
      <w:pPr>
        <w:pStyle w:val="Normal"/>
        <w:ind w:firstLine="708"/>
        <w:jc w:val="both"/>
        <w:rPr/>
      </w:pPr>
      <w:r>
        <w:rPr>
          <w:rFonts w:ascii="Times New Roman" w:hAnsi="Times New Roman"/>
          <w:sz w:val="24"/>
          <w:szCs w:val="24"/>
        </w:rPr>
        <w:t>Podnositelju prigovora ne pripada pravo na naknadu troškova u povodu izjavljenog prigovora.</w:t>
      </w:r>
    </w:p>
    <w:p>
      <w:pPr>
        <w:pStyle w:val="Default"/>
        <w:jc w:val="both"/>
        <w:rPr>
          <w:color w:val="000000" w:themeColor="text1"/>
        </w:rPr>
      </w:pPr>
      <w:r>
        <w:rPr>
          <w:color w:val="000000" w:themeColor="text1"/>
        </w:rPr>
      </w:r>
    </w:p>
    <w:p>
      <w:pPr>
        <w:pStyle w:val="Default"/>
        <w:jc w:val="center"/>
        <w:rPr>
          <w:b/>
          <w:b/>
          <w:bCs/>
          <w:color w:val="000000" w:themeColor="text1"/>
        </w:rPr>
      </w:pPr>
      <w:r>
        <w:rPr>
          <w:b/>
          <w:bCs/>
          <w:color w:val="000000" w:themeColor="text1"/>
        </w:rPr>
        <w:t>Članak 17.</w:t>
      </w:r>
    </w:p>
    <w:p>
      <w:pPr>
        <w:pStyle w:val="Normal"/>
        <w:ind w:firstLine="708"/>
        <w:jc w:val="both"/>
        <w:rPr/>
      </w:pPr>
      <w:r>
        <w:rPr>
          <w:rFonts w:ascii="Times New Roman" w:hAnsi="Times New Roman"/>
          <w:sz w:val="24"/>
          <w:szCs w:val="24"/>
        </w:rPr>
        <w:t>S odabranim ponuditeljem zaključuje se ugovor o nabavi u skladu s uvjetima određenim u pozivu na dostavu ponude, te s odabranom ponudom.</w:t>
      </w:r>
    </w:p>
    <w:p>
      <w:pPr>
        <w:pStyle w:val="Normal"/>
        <w:ind w:firstLine="708"/>
        <w:jc w:val="both"/>
        <w:rPr/>
      </w:pPr>
      <w:r>
        <w:rPr>
          <w:rFonts w:ascii="Times New Roman" w:hAnsi="Times New Roman"/>
          <w:sz w:val="24"/>
          <w:szCs w:val="24"/>
        </w:rPr>
        <w:t>Ugovor se smije sklopiti:</w:t>
      </w:r>
    </w:p>
    <w:p>
      <w:pPr>
        <w:pStyle w:val="Normal"/>
        <w:jc w:val="both"/>
        <w:rPr/>
      </w:pPr>
      <w:r>
        <w:rPr>
          <w:rFonts w:ascii="Times New Roman" w:hAnsi="Times New Roman"/>
          <w:sz w:val="24"/>
          <w:szCs w:val="24"/>
        </w:rPr>
        <w:t>- istekom roka za podnošenje prigovora, ukoliko nije uložen prigovor,</w:t>
      </w:r>
    </w:p>
    <w:p>
      <w:pPr>
        <w:pStyle w:val="Normal"/>
        <w:jc w:val="both"/>
        <w:rPr/>
      </w:pPr>
      <w:r>
        <w:rPr>
          <w:rFonts w:ascii="Times New Roman" w:hAnsi="Times New Roman"/>
          <w:sz w:val="24"/>
          <w:szCs w:val="24"/>
        </w:rPr>
        <w:t>- dostavom odluke o prigovoru kojom se prigovor odbacuje ili odbija, ako je uložen prigovor,</w:t>
      </w:r>
    </w:p>
    <w:p>
      <w:pPr>
        <w:pStyle w:val="Normal"/>
        <w:jc w:val="both"/>
        <w:rPr/>
      </w:pPr>
      <w:r>
        <w:rPr>
          <w:rFonts w:ascii="Times New Roman" w:hAnsi="Times New Roman"/>
          <w:sz w:val="24"/>
          <w:szCs w:val="24"/>
        </w:rPr>
        <w:t>- dostavom odluke o odabiru ako je u postupku zaprimljena samo jedna ponuda koja je ujedno i odabrana,</w:t>
      </w:r>
    </w:p>
    <w:p>
      <w:pPr>
        <w:pStyle w:val="Normal"/>
        <w:jc w:val="both"/>
        <w:rPr>
          <w:rFonts w:ascii="Times New Roman" w:hAnsi="Times New Roman"/>
          <w:sz w:val="24"/>
          <w:szCs w:val="24"/>
        </w:rPr>
      </w:pPr>
      <w:r>
        <w:rPr>
          <w:rFonts w:ascii="Times New Roman" w:hAnsi="Times New Roman"/>
          <w:sz w:val="24"/>
          <w:szCs w:val="24"/>
        </w:rPr>
        <w:t>- dostavom odluke o odabiru u postupku jednostavne nabave u kojem nije dopušten prigovor.</w:t>
      </w:r>
    </w:p>
    <w:p>
      <w:pPr>
        <w:pStyle w:val="Normal"/>
        <w:rPr>
          <w:rFonts w:ascii="Times New Roman" w:hAnsi="Times New Roman"/>
          <w:sz w:val="24"/>
          <w:szCs w:val="24"/>
        </w:rPr>
      </w:pPr>
      <w:r>
        <w:rPr>
          <w:rFonts w:ascii="Times New Roman" w:hAnsi="Times New Roman"/>
          <w:sz w:val="24"/>
          <w:szCs w:val="24"/>
        </w:rPr>
      </w:r>
    </w:p>
    <w:p>
      <w:pPr>
        <w:pStyle w:val="Default"/>
        <w:jc w:val="center"/>
        <w:rPr>
          <w:b/>
          <w:b/>
          <w:bCs/>
          <w:color w:val="000000" w:themeColor="text1"/>
        </w:rPr>
      </w:pPr>
      <w:r>
        <w:rPr>
          <w:b/>
          <w:bCs/>
          <w:color w:val="000000" w:themeColor="text1"/>
        </w:rPr>
        <w:t>IV.</w:t>
        <w:tab/>
        <w:t>OSTALE ODREDB</w:t>
      </w:r>
      <w:r>
        <w:rPr>
          <w:b/>
          <w:bCs/>
          <w:color w:val="000000" w:themeColor="text1"/>
          <w:lang w:val="sr-RS"/>
        </w:rPr>
        <w:t>Е</w:t>
      </w:r>
    </w:p>
    <w:p>
      <w:pPr>
        <w:pStyle w:val="Normal"/>
        <w:jc w:val="center"/>
        <w:rPr>
          <w:rFonts w:ascii="Times New Roman" w:hAnsi="Times New Roman"/>
          <w:b/>
          <w:b/>
          <w:color w:val="000000" w:themeColor="text1"/>
          <w:sz w:val="24"/>
          <w:szCs w:val="24"/>
        </w:rPr>
      </w:pPr>
      <w:r>
        <w:rPr>
          <w:rFonts w:ascii="Times New Roman" w:hAnsi="Times New Roman"/>
          <w:b/>
          <w:color w:val="000000" w:themeColor="text1"/>
          <w:sz w:val="24"/>
          <w:szCs w:val="24"/>
        </w:rPr>
        <w:t>Članak 18.</w:t>
      </w:r>
    </w:p>
    <w:p>
      <w:pPr>
        <w:pStyle w:val="Normal"/>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Općinski načelnik (gradonačelnik, ravnatelj) će odrediti osobu čija je obveza praćenje izvršenja ugovora.</w:t>
      </w:r>
    </w:p>
    <w:p>
      <w:pPr>
        <w:pStyle w:val="Normal"/>
        <w:jc w:val="both"/>
        <w:rPr/>
      </w:pPr>
      <w:r>
        <w:rPr>
          <w:rFonts w:ascii="Times New Roman" w:hAnsi="Times New Roman"/>
          <w:bCs/>
          <w:color w:val="000000" w:themeColor="text1"/>
          <w:sz w:val="24"/>
          <w:szCs w:val="24"/>
        </w:rPr>
        <w:tab/>
        <w:t xml:space="preserve">Praćenje ugovora obuhvaća praćenje rokova izvršenja, praćenje financijske realizacije ugovora, praćenje ugovorenih i nabavljenih količina, primopredaju radova, obračun ugovorne kazne, </w:t>
      </w:r>
      <w:bookmarkStart w:id="45" w:name="_Hlk106005911"/>
      <w:r>
        <w:rPr>
          <w:rFonts w:ascii="Times New Roman" w:hAnsi="Times New Roman"/>
          <w:bCs/>
          <w:color w:val="000000" w:themeColor="text1"/>
          <w:sz w:val="24"/>
          <w:szCs w:val="24"/>
        </w:rPr>
        <w:t>eventualne izmjene ugovora</w:t>
      </w:r>
      <w:bookmarkEnd w:id="45"/>
      <w:r>
        <w:rPr>
          <w:rFonts w:ascii="Times New Roman" w:hAnsi="Times New Roman"/>
          <w:bCs/>
          <w:color w:val="000000" w:themeColor="text1"/>
          <w:sz w:val="24"/>
          <w:szCs w:val="24"/>
        </w:rPr>
        <w:t xml:space="preserve"> i sl.. Izmjene ugovora moraju biti sastavljene u pisanom obliku i prethodno odobrene od strane pročelnika nadležnog upravnog odjela.</w:t>
      </w:r>
    </w:p>
    <w:p>
      <w:pPr>
        <w:pStyle w:val="Normal"/>
        <w:jc w:val="both"/>
        <w:rPr/>
      </w:pPr>
      <w:r>
        <w:rPr>
          <w:rFonts w:ascii="Times New Roman" w:hAnsi="Times New Roman"/>
          <w:bCs/>
          <w:sz w:val="24"/>
          <w:szCs w:val="24"/>
        </w:rPr>
        <w:tab/>
        <w:t>Po realizaciji ugovora osoba čija je obveza praćenje izvršenja ugovora. obvezna su Jedinstvenom upravnom odjelu dostaviti podatke o konačnom datumu izvršenja ugovora, te konačnom iznosu koji je isplaćen temeljem ugovora, radi vođenja evidencije u Registru ugovora sukladno ZJN 2016.</w:t>
      </w:r>
    </w:p>
    <w:p>
      <w:pPr>
        <w:pStyle w:val="Normal"/>
        <w:rPr>
          <w:rFonts w:ascii="Times New Roman" w:hAnsi="Times New Roman"/>
          <w:bCs/>
          <w:sz w:val="24"/>
          <w:szCs w:val="24"/>
        </w:rPr>
      </w:pPr>
      <w:r>
        <w:rPr>
          <w:rFonts w:ascii="Times New Roman" w:hAnsi="Times New Roman"/>
          <w:bCs/>
          <w:sz w:val="24"/>
          <w:szCs w:val="24"/>
        </w:rPr>
      </w:r>
    </w:p>
    <w:p>
      <w:pPr>
        <w:pStyle w:val="Default"/>
        <w:jc w:val="center"/>
        <w:rPr>
          <w:b/>
          <w:b/>
          <w:bCs/>
          <w:color w:val="000000" w:themeColor="text1"/>
        </w:rPr>
      </w:pPr>
      <w:r>
        <w:rPr>
          <w:b/>
          <w:bCs/>
          <w:color w:val="000000" w:themeColor="text1"/>
        </w:rPr>
        <w:t>Članak 19.</w:t>
      </w:r>
    </w:p>
    <w:p>
      <w:pPr>
        <w:pStyle w:val="Default"/>
        <w:ind w:firstLine="708"/>
        <w:jc w:val="both"/>
        <w:rPr/>
      </w:pPr>
      <w:r>
        <w:rPr>
          <w:color w:val="000000" w:themeColor="text1"/>
        </w:rPr>
        <w:t>Ugovori o nabavi čija je vrijednost jednaka ili veća od 5.000,00 eura objavljuju se u registru ugovora, sukladno članku 28. ZJN 2016.</w:t>
      </w:r>
    </w:p>
    <w:p>
      <w:pPr>
        <w:pStyle w:val="Default"/>
        <w:jc w:val="both"/>
        <w:rPr>
          <w:color w:val="000000" w:themeColor="text1"/>
        </w:rPr>
      </w:pPr>
      <w:r>
        <w:rPr>
          <w:color w:val="000000" w:themeColor="text1"/>
        </w:rPr>
      </w:r>
    </w:p>
    <w:p>
      <w:pPr>
        <w:pStyle w:val="Default"/>
        <w:jc w:val="center"/>
        <w:rPr>
          <w:b/>
          <w:b/>
          <w:bCs/>
          <w:color w:val="000000" w:themeColor="text1"/>
        </w:rPr>
      </w:pPr>
      <w:r>
        <w:rPr>
          <w:b/>
          <w:bCs/>
          <w:color w:val="000000" w:themeColor="text1"/>
        </w:rPr>
        <w:t>Članak 20.</w:t>
      </w:r>
    </w:p>
    <w:p>
      <w:pPr>
        <w:pStyle w:val="Default"/>
        <w:ind w:firstLine="708"/>
        <w:jc w:val="both"/>
        <w:rPr/>
      </w:pPr>
      <w:r>
        <w:rPr>
          <w:color w:val="000000" w:themeColor="text1"/>
        </w:rPr>
        <w:t>Ovaj Pravilnik ne primjenjuje se na predmete nabave koji su Zakonom o javnoj nabavi definirani kao izuzeća od njegove primjene.</w:t>
      </w:r>
    </w:p>
    <w:p>
      <w:pPr>
        <w:pStyle w:val="Default"/>
        <w:ind w:firstLine="708"/>
        <w:jc w:val="both"/>
        <w:rPr>
          <w:color w:val="000000" w:themeColor="text1"/>
        </w:rPr>
      </w:pPr>
      <w:r>
        <w:rPr>
          <w:color w:val="000000" w:themeColor="text1"/>
        </w:rPr>
      </w:r>
    </w:p>
    <w:p>
      <w:pPr>
        <w:pStyle w:val="Default"/>
        <w:jc w:val="center"/>
        <w:rPr>
          <w:b/>
          <w:b/>
          <w:bCs/>
          <w:color w:val="000000" w:themeColor="text1"/>
        </w:rPr>
      </w:pPr>
      <w:r>
        <w:rPr>
          <w:b/>
          <w:bCs/>
          <w:color w:val="000000" w:themeColor="text1"/>
        </w:rPr>
        <w:t xml:space="preserve"> </w:t>
      </w:r>
      <w:r>
        <w:rPr>
          <w:b/>
          <w:bCs/>
          <w:color w:val="000000" w:themeColor="text1"/>
        </w:rPr>
        <w:t>Članak 21.</w:t>
      </w:r>
    </w:p>
    <w:p>
      <w:pPr>
        <w:pStyle w:val="Normal"/>
        <w:ind w:firstLine="708"/>
        <w:jc w:val="both"/>
        <w:rPr/>
      </w:pPr>
      <w:r>
        <w:rPr>
          <w:rFonts w:eastAsia="Times New Roman" w:ascii="Times New Roman" w:hAnsi="Times New Roman"/>
          <w:sz w:val="24"/>
          <w:szCs w:val="24"/>
        </w:rPr>
        <w:t>Za postupanja na temelju ovoga Pravilnika na odgovarajući se način mogu primijeniti odredbe ZJN 2016 i podzakonskih propisa temeljem ZJN 2016.</w:t>
      </w:r>
    </w:p>
    <w:p>
      <w:pPr>
        <w:pStyle w:val="Default"/>
        <w:jc w:val="both"/>
        <w:rPr>
          <w:color w:val="000000" w:themeColor="text1"/>
        </w:rPr>
      </w:pPr>
      <w:r>
        <w:rPr>
          <w:color w:val="000000" w:themeColor="text1"/>
        </w:rPr>
      </w:r>
    </w:p>
    <w:p>
      <w:pPr>
        <w:pStyle w:val="Default"/>
        <w:jc w:val="center"/>
        <w:rPr>
          <w:b/>
          <w:b/>
          <w:bCs/>
          <w:color w:val="000000" w:themeColor="text1"/>
        </w:rPr>
      </w:pPr>
      <w:r>
        <w:rPr>
          <w:b/>
          <w:bCs/>
          <w:color w:val="000000" w:themeColor="text1"/>
        </w:rPr>
        <w:t>V.</w:t>
        <w:tab/>
        <w:t>PRIJELAZNE I ZAVRŠNE ODREDBE</w:t>
      </w:r>
    </w:p>
    <w:p>
      <w:pPr>
        <w:pStyle w:val="Default"/>
        <w:jc w:val="center"/>
        <w:rPr>
          <w:b/>
          <w:b/>
          <w:bCs/>
          <w:color w:val="000000" w:themeColor="text1"/>
        </w:rPr>
      </w:pPr>
      <w:r>
        <w:rPr>
          <w:b/>
          <w:bCs/>
          <w:color w:val="000000" w:themeColor="text1"/>
        </w:rPr>
        <w:t>Članak 22.</w:t>
      </w:r>
    </w:p>
    <w:p>
      <w:pPr>
        <w:pStyle w:val="Normal"/>
        <w:jc w:val="both"/>
        <w:rPr/>
      </w:pPr>
      <w:r>
        <w:rPr>
          <w:rFonts w:ascii="Times New Roman" w:hAnsi="Times New Roman"/>
          <w:sz w:val="24"/>
          <w:szCs w:val="24"/>
        </w:rPr>
        <w:tab/>
        <w:t>Postupci započeti po odredbama Pravilnika o provedbi postupaka jednostavne nabave (KLASA: 406-03/23-01/09 URBROJ: 2196-19-02-23-01 od 14.11.2023. dovršiti će se po odredbama tog Pravilnika.</w:t>
      </w:r>
    </w:p>
    <w:p>
      <w:pPr>
        <w:pStyle w:val="Default"/>
        <w:rPr>
          <w:b/>
          <w:b/>
          <w:bCs/>
          <w:color w:val="auto"/>
        </w:rPr>
      </w:pPr>
      <w:r>
        <w:rPr>
          <w:b/>
          <w:bCs/>
          <w:color w:val="auto"/>
        </w:rPr>
      </w:r>
    </w:p>
    <w:p>
      <w:pPr>
        <w:pStyle w:val="Default"/>
        <w:jc w:val="center"/>
        <w:rPr>
          <w:b/>
          <w:b/>
          <w:bCs/>
          <w:color w:val="000000" w:themeColor="text1"/>
        </w:rPr>
      </w:pPr>
      <w:r>
        <w:rPr>
          <w:b/>
          <w:bCs/>
          <w:color w:val="000000" w:themeColor="text1"/>
        </w:rPr>
        <w:t>Članak 23.</w:t>
      </w:r>
    </w:p>
    <w:p>
      <w:pPr>
        <w:pStyle w:val="Default"/>
        <w:ind w:firstLine="708"/>
        <w:jc w:val="both"/>
        <w:rPr>
          <w:b/>
          <w:b/>
          <w:color w:val="auto"/>
        </w:rPr>
      </w:pPr>
      <w:r>
        <w:rPr>
          <w:color w:val="auto"/>
        </w:rPr>
        <w:t>Stupanjem na snagu ovog Pravilnika prestaje važiti Pravilnik o provedbi postupaka jednostavne nabave  (KLASA: 406-03/23-01/09 URBROJ: 2196-19-02-23-01 od 14.11.2023. godine.</w:t>
      </w:r>
    </w:p>
    <w:p>
      <w:pPr>
        <w:pStyle w:val="Default"/>
        <w:ind w:firstLine="708"/>
        <w:jc w:val="both"/>
        <w:rPr>
          <w:b/>
          <w:b/>
          <w:color w:val="auto"/>
        </w:rPr>
      </w:pPr>
      <w:r>
        <w:rPr>
          <w:b/>
          <w:color w:val="auto"/>
        </w:rPr>
      </w:r>
    </w:p>
    <w:p>
      <w:pPr>
        <w:pStyle w:val="Default"/>
        <w:jc w:val="center"/>
        <w:rPr>
          <w:b/>
          <w:b/>
          <w:bCs/>
          <w:color w:val="000000" w:themeColor="text1"/>
        </w:rPr>
      </w:pPr>
      <w:r>
        <w:rPr>
          <w:b/>
          <w:bCs/>
          <w:color w:val="000000" w:themeColor="text1"/>
        </w:rPr>
        <w:t>Članak 24.</w:t>
      </w:r>
    </w:p>
    <w:p>
      <w:pPr>
        <w:pStyle w:val="Default"/>
        <w:ind w:firstLine="708"/>
        <w:jc w:val="both"/>
        <w:rPr/>
      </w:pPr>
      <w:r>
        <w:rPr>
          <w:color w:val="000000" w:themeColor="text1"/>
        </w:rPr>
        <w:t>Ovaj Pravilnik objavit će se u "</w:t>
      </w:r>
      <w:r>
        <w:rPr>
          <w:color w:val="auto"/>
        </w:rPr>
        <w:t xml:space="preserve">Službenom glasniku Općine Negoslavci “, </w:t>
      </w:r>
      <w:r>
        <w:rPr>
          <w:color w:val="000000" w:themeColor="text1"/>
        </w:rPr>
        <w:t xml:space="preserve">u  EOJN RH i na internetskoj stranici </w:t>
      </w:r>
      <w:r>
        <w:rPr>
          <w:color w:val="auto"/>
        </w:rPr>
        <w:t xml:space="preserve">Općine Negoslavci </w:t>
      </w:r>
      <w:r>
        <w:rPr>
          <w:color w:val="000000" w:themeColor="text1"/>
        </w:rPr>
        <w:t>a stupa na snagu 01. rujna 2026. godine.</w:t>
      </w:r>
    </w:p>
    <w:p>
      <w:pPr>
        <w:pStyle w:val="Default"/>
        <w:ind w:firstLine="708"/>
        <w:jc w:val="both"/>
        <w:rPr>
          <w:color w:val="000000" w:themeColor="text1"/>
        </w:rPr>
      </w:pPr>
      <w:r>
        <w:rPr>
          <w:color w:val="000000" w:themeColor="text1"/>
        </w:rPr>
      </w:r>
    </w:p>
    <w:p>
      <w:pPr>
        <w:pStyle w:val="Default"/>
        <w:ind w:firstLine="708"/>
        <w:jc w:val="both"/>
        <w:rPr>
          <w:color w:val="000000" w:themeColor="text1"/>
        </w:rPr>
      </w:pPr>
      <w:r>
        <w:rPr>
          <w:color w:val="000000" w:themeColor="text1"/>
        </w:rPr>
      </w:r>
    </w:p>
    <w:p>
      <w:pPr>
        <w:pStyle w:val="Normal"/>
        <w:jc w:val="center"/>
        <w:rPr>
          <w:rFonts w:ascii="Times New Roman" w:hAnsi="Times New Roman"/>
          <w:b/>
          <w:b/>
          <w:sz w:val="24"/>
          <w:lang w:val="en-AU"/>
        </w:rPr>
      </w:pPr>
      <w:r>
        <w:rPr>
          <w:rFonts w:ascii="Times New Roman" w:hAnsi="Times New Roman"/>
          <w:b/>
          <w:sz w:val="24"/>
          <w:lang w:val="en-AU"/>
        </w:rPr>
        <w:t xml:space="preserve">   </w:t>
      </w:r>
      <w:r>
        <w:rPr>
          <w:rFonts w:ascii="Times New Roman" w:hAnsi="Times New Roman"/>
          <w:b/>
          <w:sz w:val="24"/>
          <w:lang w:val="en-AU"/>
        </w:rPr>
        <w:t xml:space="preserve">PREDSJEDNIK OPĆINSKOG VIJEĆA     </w:t>
      </w:r>
    </w:p>
    <w:p>
      <w:pPr>
        <w:pStyle w:val="Normal"/>
        <w:tabs>
          <w:tab w:val="clear" w:pos="709"/>
          <w:tab w:val="left" w:pos="5580" w:leader="none"/>
        </w:tabs>
        <w:ind w:hanging="0"/>
        <w:jc w:val="center"/>
        <w:rPr/>
      </w:pPr>
      <w:r>
        <w:rPr>
          <w:rFonts w:eastAsia="Times New Roman" w:cs="Times New Roman" w:ascii="Times New Roman" w:hAnsi="Times New Roman"/>
          <w:sz w:val="24"/>
          <w:szCs w:val="24"/>
          <w:lang w:eastAsia="hr-HR"/>
        </w:rPr>
        <w:t>Miodrag Mišanović</w:t>
      </w:r>
    </w:p>
    <w:p>
      <w:pPr>
        <w:pStyle w:val="Normal"/>
        <w:tabs>
          <w:tab w:val="clear" w:pos="709"/>
          <w:tab w:val="left" w:pos="5580" w:leader="none"/>
        </w:tabs>
        <w:ind w:hanging="0"/>
        <w:jc w:val="center"/>
        <w:rPr/>
      </w:pPr>
      <w:r>
        <w:rPr/>
        <w:drawing>
          <wp:inline distT="0" distB="0" distL="0" distR="0">
            <wp:extent cx="5761355" cy="36830"/>
            <wp:effectExtent l="0" t="0" r="0" b="0"/>
            <wp:docPr id="10" name="Slik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4" descr=""/>
                    <pic:cNvPicPr>
                      <a:picLocks noChangeAspect="1" noChangeArrowheads="1"/>
                    </pic:cNvPicPr>
                  </pic:nvPicPr>
                  <pic:blipFill>
                    <a:blip r:embed="rId35"/>
                    <a:stretch>
                      <a:fillRect/>
                    </a:stretch>
                  </pic:blipFill>
                  <pic:spPr bwMode="auto">
                    <a:xfrm>
                      <a:off x="0" y="0"/>
                      <a:ext cx="5761355" cy="36830"/>
                    </a:xfrm>
                    <a:prstGeom prst="rect">
                      <a:avLst/>
                    </a:prstGeom>
                  </pic:spPr>
                </pic:pic>
              </a:graphicData>
            </a:graphic>
          </wp:inline>
        </w:drawing>
      </w:r>
    </w:p>
    <w:p>
      <w:pPr>
        <w:pStyle w:val="Normal"/>
        <w:rPr>
          <w:color w:val="000000"/>
        </w:rPr>
      </w:pPr>
      <w:r>
        <w:rPr>
          <w:color w:val="000000"/>
        </w:rPr>
      </w:r>
    </w:p>
    <w:p>
      <w:pPr>
        <w:pStyle w:val="Normal"/>
        <w:jc w:val="both"/>
        <w:rPr/>
      </w:pPr>
      <w:r>
        <w:rPr/>
        <w:tab/>
        <w:t>Na temelju odredaba Programa aktivnosti u provedbi posebnih mjera zaštite od požara od interesa za Republiku Hrvatsku u 2026. godini (</w:t>
      </w:r>
      <w:r>
        <w:rPr>
          <w:b w:val="false"/>
          <w:bCs w:val="false"/>
          <w:color w:val="000000"/>
          <w:lang w:val="hr-HR"/>
        </w:rPr>
        <w:t>Zaključak Vlade Republike Hrvatske, KLASA: 022-03/26-07/45, URBROJ: 50301-29/23-26-2, od 26.02.2026. godine</w:t>
      </w:r>
      <w:r>
        <w:rPr/>
        <w:t>), članaka 4., stavka 2. i članka 8., stavka 2. Zakona o zaštiti od p</w:t>
      </w:r>
      <w:r>
        <w:rPr>
          <w:color w:val="000000"/>
        </w:rPr>
        <w:t>ožara („Narodne novine“ broj 92/10 i 114/22) i članka 19., stavka 1., točke 2. Statuta Općine Negosla</w:t>
      </w:r>
      <w:r>
        <w:rPr/>
        <w:t>vci („Službeni glasnik Općine Negoslavci” bro</w:t>
      </w:r>
      <w:r>
        <w:rPr>
          <w:color w:val="000000"/>
        </w:rPr>
        <w:t>j 4/25) O</w:t>
      </w:r>
      <w:r>
        <w:rPr/>
        <w:t>pćinsko vijeće Općine Negoslavci na svojoj redovnoj sjednici dana 25.06.2026. godine donosi</w:t>
      </w:r>
    </w:p>
    <w:p>
      <w:pPr>
        <w:pStyle w:val="Normal"/>
        <w:jc w:val="both"/>
        <w:rPr/>
      </w:pPr>
      <w:r>
        <w:rPr/>
      </w:r>
    </w:p>
    <w:p>
      <w:pPr>
        <w:pStyle w:val="Normal"/>
        <w:jc w:val="center"/>
        <w:rPr>
          <w:b/>
          <w:b/>
        </w:rPr>
      </w:pPr>
      <w:r>
        <w:rPr>
          <w:b/>
        </w:rPr>
        <w:t>ODLUKU</w:t>
      </w:r>
    </w:p>
    <w:p>
      <w:pPr>
        <w:pStyle w:val="Normal"/>
        <w:jc w:val="center"/>
        <w:rPr>
          <w:b/>
          <w:b/>
        </w:rPr>
      </w:pPr>
      <w:r>
        <w:rPr>
          <w:b/>
        </w:rPr>
        <w:t>o mjerama zaštite od požara za vrijeme žetve i vršidbe</w:t>
      </w:r>
    </w:p>
    <w:p>
      <w:pPr>
        <w:pStyle w:val="Normal"/>
        <w:jc w:val="center"/>
        <w:rPr>
          <w:b/>
          <w:b/>
        </w:rPr>
      </w:pPr>
      <w:r>
        <w:rPr>
          <w:b/>
        </w:rPr>
      </w:r>
    </w:p>
    <w:p>
      <w:pPr>
        <w:pStyle w:val="Normal"/>
        <w:rPr>
          <w:b/>
          <w:b/>
        </w:rPr>
      </w:pPr>
      <w:r>
        <w:rPr>
          <w:b/>
        </w:rPr>
        <w:t>I OPĆE ODREDBE</w:t>
      </w:r>
    </w:p>
    <w:p>
      <w:pPr>
        <w:pStyle w:val="Normal"/>
        <w:jc w:val="center"/>
        <w:rPr>
          <w:b/>
          <w:b/>
        </w:rPr>
      </w:pPr>
      <w:r>
        <w:rPr>
          <w:b/>
        </w:rPr>
        <w:t>Članak 1.</w:t>
      </w:r>
    </w:p>
    <w:p>
      <w:pPr>
        <w:pStyle w:val="Normal"/>
        <w:jc w:val="both"/>
        <w:rPr/>
      </w:pPr>
      <w:r>
        <w:rPr>
          <w:b/>
        </w:rPr>
        <w:tab/>
      </w:r>
      <w:r>
        <w:rPr/>
        <w:t>Ovom Odlukom se propisuju mjere zaštite od požara na području Općine Negoslavci, koje se provode za vrijeme obavljanja žetve, vršidbe i sakupljanja prostirke od strane poljoprivrednih poduzeća i građana te organizacija dežurstva i vršenja nadzora nad provođenjem mjera zaštite od požara.</w:t>
      </w:r>
    </w:p>
    <w:p>
      <w:pPr>
        <w:pStyle w:val="Normal"/>
        <w:rPr/>
      </w:pPr>
      <w:r>
        <w:rPr/>
      </w:r>
    </w:p>
    <w:p>
      <w:pPr>
        <w:pStyle w:val="Normal"/>
        <w:jc w:val="center"/>
        <w:rPr>
          <w:b/>
          <w:b/>
        </w:rPr>
      </w:pPr>
      <w:r>
        <w:rPr>
          <w:b/>
        </w:rPr>
        <w:t>Članak 2.</w:t>
      </w:r>
    </w:p>
    <w:p>
      <w:pPr>
        <w:pStyle w:val="Normal"/>
        <w:jc w:val="both"/>
        <w:rPr/>
      </w:pPr>
      <w:r>
        <w:rPr>
          <w:b/>
        </w:rPr>
        <w:tab/>
      </w:r>
      <w:r>
        <w:rPr/>
        <w:t>Poljoprivredne organizacije i građani koji obavljaju žetvene radove sa kombajnima dužni su na istim postaviti sredstva i opremu za gašenje požara propisanu ovom Odlukom, a vozači kombajna moraju biti osposobljeni za rukovanje opremom za gašenje požara.</w:t>
      </w:r>
    </w:p>
    <w:p>
      <w:pPr>
        <w:pStyle w:val="Normal"/>
        <w:rPr/>
      </w:pPr>
      <w:r>
        <w:rPr/>
      </w:r>
    </w:p>
    <w:p>
      <w:pPr>
        <w:pStyle w:val="Normal"/>
        <w:jc w:val="center"/>
        <w:rPr>
          <w:b/>
          <w:b/>
        </w:rPr>
      </w:pPr>
      <w:r>
        <w:rPr>
          <w:b/>
        </w:rPr>
        <w:t>Članak 3.</w:t>
      </w:r>
    </w:p>
    <w:p>
      <w:pPr>
        <w:pStyle w:val="Normal"/>
        <w:jc w:val="both"/>
        <w:rPr/>
      </w:pPr>
      <w:r>
        <w:rPr>
          <w:b/>
        </w:rPr>
        <w:tab/>
      </w:r>
      <w:r>
        <w:rPr/>
        <w:t>Neposrednu kontrolu nad provođenjem propisanih mjera zaštite od požara obavlja nadležna Policijska uprava putem inspekcije za zaštitu od požara i nadležnog vatrogasnog zapovjednika.</w:t>
      </w:r>
    </w:p>
    <w:p>
      <w:pPr>
        <w:pStyle w:val="Normal"/>
        <w:rPr/>
      </w:pPr>
      <w:r>
        <w:rPr/>
      </w:r>
    </w:p>
    <w:p>
      <w:pPr>
        <w:pStyle w:val="Normal"/>
        <w:rPr>
          <w:b/>
          <w:b/>
        </w:rPr>
      </w:pPr>
      <w:r>
        <w:rPr>
          <w:b/>
        </w:rPr>
        <w:t>IV MJERE ZAŠTITE OD POŽARA</w:t>
      </w:r>
    </w:p>
    <w:p>
      <w:pPr>
        <w:pStyle w:val="Normal"/>
        <w:jc w:val="center"/>
        <w:rPr>
          <w:b/>
          <w:b/>
        </w:rPr>
      </w:pPr>
      <w:r>
        <w:rPr>
          <w:b/>
        </w:rPr>
        <w:t>Članak 4.</w:t>
      </w:r>
    </w:p>
    <w:p>
      <w:pPr>
        <w:pStyle w:val="Normal"/>
        <w:jc w:val="both"/>
        <w:rPr/>
      </w:pPr>
      <w:r>
        <w:rPr/>
        <w:tab/>
        <w:t>Za vrijeme žetve i vršidbe poduzimaju se mjere zaštite usjeva, prostirke, kombajna i transportnih sredstava sa ciljem da se spriječi nastajanje i širenje požara.</w:t>
      </w:r>
    </w:p>
    <w:p>
      <w:pPr>
        <w:pStyle w:val="Normal"/>
        <w:jc w:val="both"/>
        <w:rPr/>
      </w:pPr>
      <w:r>
        <w:rPr/>
        <w:tab/>
        <w:t>Na mjestu gdje se obavlja žetva svaki radni stroj mora posjedovati sljedeću opremu za gašenje požara:</w:t>
      </w:r>
    </w:p>
    <w:p>
      <w:pPr>
        <w:pStyle w:val="ListParagraph"/>
        <w:numPr>
          <w:ilvl w:val="0"/>
          <w:numId w:val="4"/>
        </w:numPr>
        <w:jc w:val="both"/>
        <w:rPr/>
      </w:pPr>
      <w:r>
        <w:rPr/>
        <w:t>Osobni automobil i kombi vozila – vatrogasni aparat S-2 kg,</w:t>
      </w:r>
    </w:p>
    <w:p>
      <w:pPr>
        <w:pStyle w:val="ListParagraph"/>
        <w:numPr>
          <w:ilvl w:val="0"/>
          <w:numId w:val="4"/>
        </w:numPr>
        <w:jc w:val="both"/>
        <w:rPr/>
      </w:pPr>
      <w:r>
        <w:rPr/>
        <w:t>Kamioni do 2,5 tona i traktori – vatrogasni aparat S-3 kg,</w:t>
      </w:r>
    </w:p>
    <w:p>
      <w:pPr>
        <w:pStyle w:val="ListParagraph"/>
        <w:numPr>
          <w:ilvl w:val="0"/>
          <w:numId w:val="4"/>
        </w:numPr>
        <w:jc w:val="both"/>
        <w:rPr/>
      </w:pPr>
      <w:r>
        <w:rPr/>
        <w:t>Kombajni i kamioni do 10 tona – vatrogasni aparat S-6 kg.</w:t>
      </w:r>
    </w:p>
    <w:p>
      <w:pPr>
        <w:pStyle w:val="Normal"/>
        <w:rPr/>
      </w:pPr>
      <w:r>
        <w:rPr/>
      </w:r>
    </w:p>
    <w:p>
      <w:pPr>
        <w:pStyle w:val="Normal"/>
        <w:jc w:val="center"/>
        <w:rPr>
          <w:b/>
          <w:b/>
        </w:rPr>
      </w:pPr>
      <w:r>
        <w:rPr>
          <w:b/>
        </w:rPr>
        <w:t>Članak 5.</w:t>
      </w:r>
    </w:p>
    <w:p>
      <w:pPr>
        <w:pStyle w:val="Normal"/>
        <w:jc w:val="both"/>
        <w:rPr/>
      </w:pPr>
      <w:r>
        <w:rPr>
          <w:b/>
        </w:rPr>
        <w:tab/>
      </w:r>
      <w:r>
        <w:rPr/>
        <w:t>Poljoprivredne organizacije ili građani koji obavljaju žetvu sa više od dva kombajna na jednoj žetvenoj površini, dužni su pored vatrogasnih aparata navedenih u članku 4. ove Odluke, osigurati cisternu sa vodom kapaciteta 3.000-5.000 litara vode u minuti, dovoljnu duljinu vatrogasnih cijevi i mlaznicu, 3-5 metlanica za gašenje požara otvorenog prostora, te traktor sa plugom za odoravanje i lanac – sajlu za izvlačenje kombajna.</w:t>
      </w:r>
    </w:p>
    <w:p>
      <w:pPr>
        <w:pStyle w:val="Normal"/>
        <w:rPr/>
      </w:pPr>
      <w:r>
        <w:rPr/>
      </w:r>
    </w:p>
    <w:p>
      <w:pPr>
        <w:pStyle w:val="Normal"/>
        <w:jc w:val="center"/>
        <w:rPr>
          <w:b/>
          <w:b/>
        </w:rPr>
      </w:pPr>
      <w:r>
        <w:rPr>
          <w:b/>
        </w:rPr>
        <w:t>Članak 6.</w:t>
      </w:r>
    </w:p>
    <w:p>
      <w:pPr>
        <w:pStyle w:val="Normal"/>
        <w:jc w:val="both"/>
        <w:rPr/>
      </w:pPr>
      <w:r>
        <w:rPr/>
        <w:tab/>
        <w:t>Na početku žetvene površine treba postaviti upozorenje zabranjeno pušenje i upotreba otvorenog plamena.</w:t>
      </w:r>
    </w:p>
    <w:p>
      <w:pPr>
        <w:pStyle w:val="Normal"/>
        <w:jc w:val="both"/>
        <w:rPr/>
      </w:pPr>
      <w:r>
        <w:rPr/>
        <w:tab/>
        <w:t>Na svakom kombajnu treba postaviti vidljivi znak zabranjeno pušenje.</w:t>
      </w:r>
    </w:p>
    <w:p>
      <w:pPr>
        <w:pStyle w:val="Normal"/>
        <w:rPr/>
      </w:pPr>
      <w:r>
        <w:rPr/>
      </w:r>
    </w:p>
    <w:p>
      <w:pPr>
        <w:pStyle w:val="Normal"/>
        <w:jc w:val="center"/>
        <w:rPr>
          <w:b/>
          <w:b/>
        </w:rPr>
      </w:pPr>
      <w:r>
        <w:rPr>
          <w:b/>
        </w:rPr>
        <w:t>Članak 7.</w:t>
      </w:r>
    </w:p>
    <w:p>
      <w:pPr>
        <w:pStyle w:val="Normal"/>
        <w:jc w:val="both"/>
        <w:rPr/>
      </w:pPr>
      <w:r>
        <w:rPr>
          <w:b/>
        </w:rPr>
        <w:tab/>
      </w:r>
      <w:r>
        <w:rPr/>
        <w:t>Vozač kombajna i osobe na održavanju istih dužni su svakodnevno prije izlaska na žetvenu površinu ili početka žetve i vršidbe izvršiti čišćenje kombajna, a po potrebi izvršiti i pranje motora kombajna.</w:t>
      </w:r>
    </w:p>
    <w:p>
      <w:pPr>
        <w:pStyle w:val="Normal"/>
        <w:rPr/>
      </w:pPr>
      <w:r>
        <w:rPr/>
      </w:r>
    </w:p>
    <w:p>
      <w:pPr>
        <w:pStyle w:val="Normal"/>
        <w:jc w:val="center"/>
        <w:rPr>
          <w:b/>
          <w:b/>
        </w:rPr>
      </w:pPr>
      <w:r>
        <w:rPr>
          <w:b/>
        </w:rPr>
        <w:t>Članak 8.</w:t>
      </w:r>
    </w:p>
    <w:p>
      <w:pPr>
        <w:pStyle w:val="Normal"/>
        <w:jc w:val="both"/>
        <w:rPr/>
      </w:pPr>
      <w:r>
        <w:rPr>
          <w:b/>
        </w:rPr>
        <w:tab/>
      </w:r>
      <w:r>
        <w:rPr/>
        <w:t>Svi kombajni u pojedinačnom radu moraju imati kontrolne knjige, a u zajedničkom radu jednu kontrolnu knjigu na žetvenoj površini u kojoj se upisuju redovito čišćenje i pranje kombajna te kontrola nad provođenjem propisanih mjera zaštite od požara temeljem ove Odluke.</w:t>
      </w:r>
    </w:p>
    <w:p>
      <w:pPr>
        <w:pStyle w:val="Normal"/>
        <w:rPr/>
      </w:pPr>
      <w:r>
        <w:rPr/>
      </w:r>
    </w:p>
    <w:p>
      <w:pPr>
        <w:pStyle w:val="Normal"/>
        <w:jc w:val="center"/>
        <w:rPr>
          <w:b/>
          <w:b/>
        </w:rPr>
      </w:pPr>
      <w:r>
        <w:rPr>
          <w:b/>
        </w:rPr>
        <w:t>Članak 9.</w:t>
      </w:r>
    </w:p>
    <w:p>
      <w:pPr>
        <w:pStyle w:val="Normal"/>
        <w:jc w:val="both"/>
        <w:rPr/>
      </w:pPr>
      <w:r>
        <w:rPr/>
        <w:tab/>
        <w:t xml:space="preserve">Spaljivanje trave, korova, raslinja, strništa i biljnog otpada za vrijeme sazrijevanja strnih žitarica i uljane repice te za vrijeme trajanja žetve zabranjeno je u bilo kojem obliku. </w:t>
      </w:r>
    </w:p>
    <w:p>
      <w:pPr>
        <w:pStyle w:val="Normal"/>
        <w:jc w:val="both"/>
        <w:rPr>
          <w:color w:val="000000" w:themeColor="text1"/>
        </w:rPr>
      </w:pPr>
      <w:r>
        <w:rPr/>
        <w:tab/>
      </w:r>
      <w:r>
        <w:rPr>
          <w:color w:val="000000" w:themeColor="text1"/>
        </w:rPr>
        <w:t>Žetveni ostaci ne smiju se nikada spaljivati, a njihovo spaljivanje je dopušteno samo u cilju sprečavanja širenja ili</w:t>
      </w:r>
      <w:bookmarkStart w:id="46" w:name="_GoBack1"/>
      <w:bookmarkEnd w:id="46"/>
      <w:r>
        <w:rPr>
          <w:color w:val="000000" w:themeColor="text1"/>
        </w:rPr>
        <w:t xml:space="preserve"> suzbijanja organizama štetnih za bilje u periodu od 01. svibnja do 31. listopada, uz provođenja mjera zaštite od požara sukladno članku 4. Odluke o uvjetima spaljivanja korova, trava i drugog otpadnog materijala biljnog porijekla (KLASA: 250-04/26-01/03, URBROJ: 2196-19-01-26-01, od 15.04.2026. godine) .</w:t>
      </w:r>
    </w:p>
    <w:p>
      <w:pPr>
        <w:pStyle w:val="Normal"/>
        <w:rPr/>
      </w:pPr>
      <w:r>
        <w:rPr/>
      </w:r>
    </w:p>
    <w:p>
      <w:pPr>
        <w:pStyle w:val="Normal"/>
        <w:jc w:val="center"/>
        <w:rPr>
          <w:b/>
          <w:b/>
        </w:rPr>
      </w:pPr>
      <w:r>
        <w:rPr>
          <w:b/>
        </w:rPr>
        <w:t>Članak 10.</w:t>
      </w:r>
    </w:p>
    <w:p>
      <w:pPr>
        <w:pStyle w:val="Normal"/>
        <w:jc w:val="both"/>
        <w:rPr>
          <w:color w:val="000000" w:themeColor="text1"/>
        </w:rPr>
      </w:pPr>
      <w:r>
        <w:rPr/>
        <w:tab/>
      </w:r>
      <w:r>
        <w:rPr>
          <w:color w:val="000000" w:themeColor="text1"/>
        </w:rPr>
        <w:t>Nakon žetve spaljivanje je dopušteno u slačajevima i u perodu propisanom Odlukom o uvjetima spaljivanja korova, trava i drugog otpadnog materijama biljnog porijekla.</w:t>
      </w:r>
    </w:p>
    <w:p>
      <w:pPr>
        <w:pStyle w:val="Normal"/>
        <w:rPr/>
      </w:pPr>
      <w:r>
        <w:rPr/>
      </w:r>
    </w:p>
    <w:p>
      <w:pPr>
        <w:pStyle w:val="Normal"/>
        <w:jc w:val="center"/>
        <w:rPr>
          <w:b/>
          <w:b/>
        </w:rPr>
      </w:pPr>
      <w:r>
        <w:rPr>
          <w:b/>
        </w:rPr>
        <w:t>Članak 11.</w:t>
      </w:r>
    </w:p>
    <w:p>
      <w:pPr>
        <w:pStyle w:val="Normal"/>
        <w:jc w:val="both"/>
        <w:rPr/>
      </w:pPr>
      <w:r>
        <w:rPr>
          <w:b/>
        </w:rPr>
        <w:tab/>
      </w:r>
      <w:r>
        <w:rPr/>
        <w:t>Kamare slame u ekonomskom dvorištu poljoprivrednih organizacija i građana moraju biti odmaknute najmanje 10 metara od građevina, uličnog niza i javnih putova.</w:t>
      </w:r>
    </w:p>
    <w:p>
      <w:pPr>
        <w:pStyle w:val="Normal"/>
        <w:rPr/>
      </w:pPr>
      <w:r>
        <w:rPr/>
      </w:r>
    </w:p>
    <w:p>
      <w:pPr>
        <w:pStyle w:val="Normal"/>
        <w:rPr>
          <w:b/>
          <w:b/>
        </w:rPr>
      </w:pPr>
      <w:r>
        <w:rPr>
          <w:b/>
        </w:rPr>
        <w:t>III ORGANIZACIJA DEŽURISTVA</w:t>
      </w:r>
    </w:p>
    <w:p>
      <w:pPr>
        <w:pStyle w:val="Normal"/>
        <w:jc w:val="center"/>
        <w:rPr>
          <w:b/>
          <w:b/>
        </w:rPr>
      </w:pPr>
      <w:r>
        <w:rPr>
          <w:b/>
        </w:rPr>
        <w:t>Članak 12.</w:t>
      </w:r>
    </w:p>
    <w:p>
      <w:pPr>
        <w:pStyle w:val="Normal"/>
        <w:jc w:val="both"/>
        <w:rPr/>
      </w:pPr>
      <w:r>
        <w:rPr>
          <w:b/>
        </w:rPr>
        <w:tab/>
      </w:r>
      <w:r>
        <w:rPr/>
        <w:t>Poljoprivredna zadruga u svrhu sprječavanja i otklanjanja opasnosti od požara za vrijeme sazrijevanja i žetve strnih žitarica i uljane repice na poljoprivrednim površinama osiguravaju motrilačko-dojavnu službu i odgovarajuću opremu i sredstva za gašenje i dojavu požara.</w:t>
      </w:r>
    </w:p>
    <w:p>
      <w:pPr>
        <w:pStyle w:val="Normal"/>
        <w:jc w:val="both"/>
        <w:rPr/>
      </w:pPr>
      <w:r>
        <w:rPr/>
        <w:tab/>
        <w:t>Za vrijeme trajanja žetve i vršidbe u Općini organizirat će se dežurstvo.</w:t>
      </w:r>
    </w:p>
    <w:p>
      <w:pPr>
        <w:pStyle w:val="Normal"/>
        <w:rPr/>
      </w:pPr>
      <w:r>
        <w:rPr/>
      </w:r>
    </w:p>
    <w:p>
      <w:pPr>
        <w:pStyle w:val="Normal"/>
        <w:jc w:val="center"/>
        <w:rPr>
          <w:b/>
          <w:b/>
        </w:rPr>
      </w:pPr>
      <w:r>
        <w:rPr>
          <w:b/>
        </w:rPr>
        <w:t>Članak 13.</w:t>
      </w:r>
    </w:p>
    <w:p>
      <w:pPr>
        <w:pStyle w:val="Normal"/>
        <w:jc w:val="both"/>
        <w:rPr/>
      </w:pPr>
      <w:r>
        <w:rPr>
          <w:b/>
        </w:rPr>
        <w:tab/>
      </w:r>
      <w:r>
        <w:rPr/>
        <w:t>Neposredno prije i za vrijeme žetve PZ Negoslavci se određuje za nosioca protupožarne zaštite na području Općine Negoslavci s obzirom na svoju djelatnost.</w:t>
      </w:r>
    </w:p>
    <w:p>
      <w:pPr>
        <w:pStyle w:val="Normal"/>
        <w:jc w:val="both"/>
        <w:rPr/>
      </w:pPr>
      <w:r>
        <w:rPr/>
        <w:tab/>
        <w:t>Brojevi telefona Vatrogasne jedinice, Policijske uprave i Centra za motrenje i obavještavanje trebaju biti istaknuti na vidnom mjestu i na oglasnoj ploči Općine.</w:t>
      </w:r>
    </w:p>
    <w:p>
      <w:pPr>
        <w:pStyle w:val="Normal"/>
        <w:jc w:val="both"/>
        <w:rPr/>
      </w:pPr>
      <w:r>
        <w:rPr/>
      </w:r>
    </w:p>
    <w:p>
      <w:pPr>
        <w:pStyle w:val="Normal"/>
        <w:rPr>
          <w:b/>
          <w:b/>
        </w:rPr>
      </w:pPr>
      <w:r>
        <w:rPr>
          <w:b/>
        </w:rPr>
        <w:t>IV NADZOR NAD PROVOĐENJEM MJERA ZAŠTITE OD POŽARA</w:t>
      </w:r>
    </w:p>
    <w:p>
      <w:pPr>
        <w:pStyle w:val="Normal"/>
        <w:jc w:val="center"/>
        <w:rPr>
          <w:b/>
          <w:b/>
        </w:rPr>
      </w:pPr>
      <w:r>
        <w:rPr>
          <w:b/>
        </w:rPr>
        <w:t>Članak 14.</w:t>
      </w:r>
    </w:p>
    <w:p>
      <w:pPr>
        <w:pStyle w:val="Normal"/>
        <w:jc w:val="both"/>
        <w:rPr/>
      </w:pPr>
      <w:r>
        <w:rPr/>
        <w:tab/>
        <w:t>Nadzor nad provođenjem mjera zaštite od požara utvrđenih ovom Odlukom vrši inspekcija zaštite od požara i poljoprivredne inspekcije temeljem Zakona o zaštiti od požara i Zakona o poljoprivrednom zemljištu.</w:t>
      </w:r>
    </w:p>
    <w:p>
      <w:pPr>
        <w:pStyle w:val="Normal"/>
        <w:jc w:val="center"/>
        <w:rPr>
          <w:b/>
          <w:b/>
        </w:rPr>
      </w:pPr>
      <w:r>
        <w:rPr>
          <w:b/>
        </w:rPr>
        <w:t>Članak 15.</w:t>
      </w:r>
    </w:p>
    <w:p>
      <w:pPr>
        <w:pStyle w:val="Normal"/>
        <w:jc w:val="both"/>
        <w:rPr/>
      </w:pPr>
      <w:r>
        <w:rPr>
          <w:b/>
        </w:rPr>
        <w:tab/>
      </w:r>
      <w:r>
        <w:rPr/>
        <w:t>Nadležna Policijska uprava obavijestit će Općinsko vijeće i druga nadležna tijela lokalne samouprave o stanju zaštite od požara, problematici i obvezama u svezi sa požarno preventivnim mjerama za vrijeme žetve i vršidbe.</w:t>
      </w:r>
    </w:p>
    <w:p>
      <w:pPr>
        <w:pStyle w:val="Normal"/>
        <w:jc w:val="both"/>
        <w:rPr/>
      </w:pPr>
      <w:r>
        <w:rPr/>
      </w:r>
    </w:p>
    <w:p>
      <w:pPr>
        <w:pStyle w:val="Normal"/>
        <w:rPr>
          <w:b/>
          <w:b/>
        </w:rPr>
      </w:pPr>
      <w:r>
        <w:rPr>
          <w:b/>
        </w:rPr>
        <w:t>V KAZNENE ODREDBE</w:t>
      </w:r>
    </w:p>
    <w:p>
      <w:pPr>
        <w:pStyle w:val="Normal"/>
        <w:jc w:val="center"/>
        <w:rPr>
          <w:b/>
          <w:b/>
        </w:rPr>
      </w:pPr>
      <w:r>
        <w:rPr>
          <w:b/>
        </w:rPr>
        <w:t>Članak 16.</w:t>
      </w:r>
    </w:p>
    <w:p>
      <w:pPr>
        <w:pStyle w:val="Normal"/>
        <w:jc w:val="both"/>
        <w:rPr/>
      </w:pPr>
      <w:r>
        <w:rPr/>
        <w:tab/>
      </w:r>
      <w:r>
        <w:rPr>
          <w:b w:val="false"/>
          <w:bCs w:val="false"/>
        </w:rPr>
        <w:t>Novčanom kaznom u iznos</w:t>
      </w:r>
      <w:r>
        <w:rPr>
          <w:b w:val="false"/>
          <w:bCs w:val="false"/>
          <w:color w:val="000000"/>
        </w:rPr>
        <w:t>u od 66,00 do 133,00 EUR kaznit će se za prekršaj pravna osoba:</w:t>
      </w:r>
    </w:p>
    <w:p>
      <w:pPr>
        <w:pStyle w:val="ListParagraph"/>
        <w:numPr>
          <w:ilvl w:val="0"/>
          <w:numId w:val="5"/>
        </w:numPr>
        <w:jc w:val="both"/>
        <w:rPr>
          <w:color w:val="000000"/>
        </w:rPr>
      </w:pPr>
      <w:r>
        <w:rPr>
          <w:color w:val="000000"/>
        </w:rPr>
        <w:t>ako ne poduzme mjere iz zaštite od požara sukladno članku 5. i 6. ove Odluke,</w:t>
      </w:r>
    </w:p>
    <w:p>
      <w:pPr>
        <w:pStyle w:val="ListParagraph"/>
        <w:numPr>
          <w:ilvl w:val="0"/>
          <w:numId w:val="5"/>
        </w:numPr>
        <w:jc w:val="both"/>
        <w:rPr>
          <w:color w:val="000000"/>
        </w:rPr>
      </w:pPr>
      <w:r>
        <w:rPr>
          <w:color w:val="000000"/>
        </w:rPr>
        <w:t>ako obavlja spaljivanje strništa, suhe trave i loženje vatre u bilo kojem obliku (članak 9. stavak 1. ove Odluke),</w:t>
      </w:r>
    </w:p>
    <w:p>
      <w:pPr>
        <w:pStyle w:val="ListParagraph"/>
        <w:numPr>
          <w:ilvl w:val="0"/>
          <w:numId w:val="5"/>
        </w:numPr>
        <w:jc w:val="both"/>
        <w:rPr>
          <w:color w:val="000000"/>
        </w:rPr>
      </w:pPr>
      <w:r>
        <w:rPr>
          <w:color w:val="000000"/>
        </w:rPr>
        <w:t>ako slaže stogove i kamare prostirke i sijena suprotno odredbi stavka 11. Odluke,</w:t>
      </w:r>
    </w:p>
    <w:p>
      <w:pPr>
        <w:pStyle w:val="ListParagraph"/>
        <w:numPr>
          <w:ilvl w:val="0"/>
          <w:numId w:val="5"/>
        </w:numPr>
        <w:jc w:val="both"/>
        <w:rPr>
          <w:color w:val="000000"/>
        </w:rPr>
      </w:pPr>
      <w:r>
        <w:rPr>
          <w:color w:val="000000"/>
        </w:rPr>
        <w:t>ako ne izradi plan mjera s preglednom kartom i uspostavi vatrogasnog dežurstva motrenja i obavješćivanja (članak 12. Odluke).</w:t>
      </w:r>
    </w:p>
    <w:p>
      <w:pPr>
        <w:pStyle w:val="Normal"/>
        <w:jc w:val="both"/>
        <w:rPr>
          <w:color w:val="000000"/>
        </w:rPr>
      </w:pPr>
      <w:r>
        <w:rPr>
          <w:color w:val="000000"/>
        </w:rPr>
        <w:tab/>
        <w:t>Za prekršaj iz stavka 1. ovog članka kaznit će se globom u iznosu od 26,00 EUR odgovorna osoba u pravnoj osobi.</w:t>
      </w:r>
    </w:p>
    <w:p>
      <w:pPr>
        <w:pStyle w:val="Normal"/>
        <w:jc w:val="both"/>
        <w:rPr>
          <w:color w:val="000000"/>
        </w:rPr>
      </w:pPr>
      <w:r>
        <w:rPr>
          <w:color w:val="000000"/>
        </w:rPr>
        <w:tab/>
        <w:t>Novčanom u iznosu od 26,00 EUR kaznit će se za prekršaj fizička osoba:</w:t>
      </w:r>
    </w:p>
    <w:p>
      <w:pPr>
        <w:pStyle w:val="ListParagraph"/>
        <w:numPr>
          <w:ilvl w:val="0"/>
          <w:numId w:val="5"/>
        </w:numPr>
        <w:jc w:val="both"/>
        <w:rPr/>
      </w:pPr>
      <w:r>
        <w:rPr>
          <w:color w:val="000000"/>
        </w:rPr>
        <w:t>ako ne poduzme mjere iz zaštite od požara 5. i 6. ove O</w:t>
      </w:r>
      <w:r>
        <w:rPr/>
        <w:t>dluke,</w:t>
      </w:r>
    </w:p>
    <w:p>
      <w:pPr>
        <w:pStyle w:val="ListParagraph"/>
        <w:numPr>
          <w:ilvl w:val="0"/>
          <w:numId w:val="5"/>
        </w:numPr>
        <w:jc w:val="both"/>
        <w:rPr/>
      </w:pPr>
      <w:r>
        <w:rPr/>
        <w:t>ako obavlja spaljivanje strništa, suhe trave i loženje vatre u bilo kojem obliku utvrđene člankom 9. stavak 1.,</w:t>
      </w:r>
    </w:p>
    <w:p>
      <w:pPr>
        <w:pStyle w:val="Normal"/>
        <w:jc w:val="both"/>
        <w:rPr/>
      </w:pPr>
      <w:r>
        <w:rPr>
          <w:b w:val="false"/>
          <w:bCs w:val="false"/>
        </w:rPr>
        <w:t>- ako slaže stogove i kamare prostirke i sijena suprotno odredbi članka 11. Odluke.</w:t>
      </w:r>
    </w:p>
    <w:p>
      <w:pPr>
        <w:pStyle w:val="Normal"/>
        <w:rPr/>
      </w:pPr>
      <w:r>
        <w:rPr/>
      </w:r>
    </w:p>
    <w:p>
      <w:pPr>
        <w:pStyle w:val="Normal"/>
        <w:rPr>
          <w:b/>
          <w:b/>
        </w:rPr>
      </w:pPr>
      <w:r>
        <w:rPr>
          <w:b/>
        </w:rPr>
        <w:t>VI ZAVRŠNE ODREDBE</w:t>
      </w:r>
    </w:p>
    <w:p>
      <w:pPr>
        <w:pStyle w:val="Normal"/>
        <w:jc w:val="center"/>
        <w:rPr>
          <w:b/>
          <w:b/>
        </w:rPr>
      </w:pPr>
      <w:r>
        <w:rPr>
          <w:b/>
        </w:rPr>
        <w:t>Članak 17.</w:t>
      </w:r>
    </w:p>
    <w:p>
      <w:pPr>
        <w:pStyle w:val="Normal"/>
        <w:jc w:val="both"/>
        <w:rPr/>
      </w:pPr>
      <w:r>
        <w:rPr>
          <w:b/>
        </w:rPr>
        <w:tab/>
      </w:r>
      <w:r>
        <w:rPr/>
        <w:t>Ova Odluka stupa na snagu danom nakon dana objave u Službenom glasniku Općine Negoslavci.</w:t>
      </w:r>
    </w:p>
    <w:p>
      <w:pPr>
        <w:pStyle w:val="Normal"/>
        <w:jc w:val="both"/>
        <w:rPr/>
      </w:pPr>
      <w:r>
        <w:rPr/>
      </w:r>
    </w:p>
    <w:p>
      <w:pPr>
        <w:pStyle w:val="Normal"/>
        <w:rPr>
          <w:b w:val="false"/>
          <w:b w:val="false"/>
          <w:bCs w:val="false"/>
        </w:rPr>
      </w:pPr>
      <w:r>
        <w:rPr>
          <w:b w:val="false"/>
          <w:bCs w:val="false"/>
          <w:color w:val="000000"/>
        </w:rPr>
        <w:t xml:space="preserve">KLASA: </w:t>
      </w:r>
      <w:r>
        <w:rPr>
          <w:rFonts w:cs="Times New Roman"/>
          <w:b w:val="false"/>
          <w:bCs w:val="false"/>
          <w:color w:val="000000"/>
          <w:szCs w:val="24"/>
          <w:lang w:val="hr-HR"/>
        </w:rPr>
        <w:t>250-04/26-01/09</w:t>
      </w:r>
    </w:p>
    <w:p>
      <w:pPr>
        <w:pStyle w:val="Normal"/>
        <w:rPr>
          <w:b w:val="false"/>
          <w:b w:val="false"/>
          <w:bCs w:val="false"/>
        </w:rPr>
      </w:pPr>
      <w:r>
        <w:rPr>
          <w:b w:val="false"/>
          <w:bCs w:val="false"/>
          <w:color w:val="000000"/>
        </w:rPr>
        <w:t>URBROJ: 2196-19-02-26-01</w:t>
      </w:r>
    </w:p>
    <w:p>
      <w:pPr>
        <w:pStyle w:val="Normal"/>
        <w:rPr>
          <w:b w:val="false"/>
          <w:b w:val="false"/>
          <w:bCs w:val="false"/>
        </w:rPr>
      </w:pPr>
      <w:r>
        <w:rPr>
          <w:b w:val="false"/>
          <w:bCs w:val="false"/>
          <w:color w:val="000000"/>
        </w:rPr>
        <w:t xml:space="preserve">Negoslavci, 25. lipnja 2026. </w:t>
      </w:r>
    </w:p>
    <w:p>
      <w:pPr>
        <w:pStyle w:val="Normal"/>
        <w:jc w:val="right"/>
        <w:rPr>
          <w:b/>
          <w:b/>
        </w:rPr>
      </w:pPr>
      <w:r>
        <w:rPr>
          <w:b/>
        </w:rPr>
      </w:r>
    </w:p>
    <w:p>
      <w:pPr>
        <w:pStyle w:val="Normal"/>
        <w:jc w:val="center"/>
        <w:rPr/>
      </w:pPr>
      <w:r>
        <w:rPr>
          <w:b/>
        </w:rPr>
        <w:t>PREDSJEDNIK OPĆINSKOG VIJEĆA:</w:t>
      </w:r>
    </w:p>
    <w:p>
      <w:pPr>
        <w:pStyle w:val="Normal"/>
        <w:jc w:val="center"/>
        <w:rPr/>
      </w:pPr>
      <w:r>
        <w:rPr>
          <w:lang w:val="hr-HR"/>
        </w:rPr>
        <w:t>Miodrag Mišanović</w:t>
      </w:r>
    </w:p>
    <w:p>
      <w:pPr>
        <w:pStyle w:val="Normal"/>
        <w:jc w:val="center"/>
        <w:rPr/>
      </w:pPr>
      <w:r>
        <w:rPr/>
        <w:drawing>
          <wp:inline distT="0" distB="0" distL="0" distR="0">
            <wp:extent cx="5761355" cy="36830"/>
            <wp:effectExtent l="0" t="0" r="0" b="0"/>
            <wp:docPr id="11" name="Slik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5" descr=""/>
                    <pic:cNvPicPr>
                      <a:picLocks noChangeAspect="1" noChangeArrowheads="1"/>
                    </pic:cNvPicPr>
                  </pic:nvPicPr>
                  <pic:blipFill>
                    <a:blip r:embed="rId36"/>
                    <a:stretch>
                      <a:fillRect/>
                    </a:stretch>
                  </pic:blipFill>
                  <pic:spPr bwMode="auto">
                    <a:xfrm>
                      <a:off x="0" y="0"/>
                      <a:ext cx="5761355" cy="36830"/>
                    </a:xfrm>
                    <a:prstGeom prst="rect">
                      <a:avLst/>
                    </a:prstGeom>
                  </pic:spPr>
                </pic:pic>
              </a:graphicData>
            </a:graphic>
          </wp:inline>
        </w:drawing>
      </w:r>
    </w:p>
    <w:p>
      <w:pPr>
        <w:pStyle w:val="Normal"/>
        <w:jc w:val="right"/>
        <w:rPr/>
      </w:pPr>
      <w:r>
        <w:rPr/>
      </w:r>
    </w:p>
    <w:p>
      <w:pPr>
        <w:pStyle w:val="Normal"/>
        <w:bidi w:val="0"/>
        <w:jc w:val="both"/>
        <w:rPr>
          <w:rFonts w:ascii="Times New Roman" w:hAnsi="Times New Roman"/>
        </w:rPr>
      </w:pPr>
      <w:r>
        <w:rPr>
          <w:rFonts w:ascii="Times New Roman" w:hAnsi="Times New Roman"/>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both"/>
        <w:rPr/>
      </w:pPr>
      <w:r>
        <w:rPr/>
        <w:tab/>
        <w:t>Na temelju odredaba Programa aktivnosti u provedbi posebnih mjera zaštite od požara od interesa za Republiku Hrvatsku u 2026. godini (</w:t>
      </w:r>
      <w:r>
        <w:rPr>
          <w:b w:val="false"/>
          <w:bCs w:val="false"/>
          <w:color w:val="000000"/>
          <w:lang w:val="hr-HR"/>
        </w:rPr>
        <w:t xml:space="preserve">Zaključak Vlade Republike Hrvatske, KLASA: </w:t>
      </w:r>
      <w:r>
        <w:rPr>
          <w:rStyle w:val="Strong"/>
          <w:b w:val="false"/>
          <w:bCs w:val="false"/>
          <w:color w:val="000000"/>
          <w:lang w:val="hr-HR"/>
        </w:rPr>
        <w:t>022-03/26-07/45</w:t>
      </w:r>
      <w:r>
        <w:rPr>
          <w:b w:val="false"/>
          <w:bCs w:val="false"/>
          <w:color w:val="000000"/>
          <w:lang w:val="hr-HR"/>
        </w:rPr>
        <w:t xml:space="preserve">, URBROJ: </w:t>
      </w:r>
      <w:r>
        <w:rPr>
          <w:rStyle w:val="Strong"/>
          <w:b w:val="false"/>
          <w:bCs w:val="false"/>
          <w:color w:val="000000"/>
          <w:lang w:val="hr-HR"/>
        </w:rPr>
        <w:t>50301-29/23-26-2</w:t>
      </w:r>
      <w:r>
        <w:rPr>
          <w:b w:val="false"/>
          <w:bCs w:val="false"/>
          <w:color w:val="000000"/>
          <w:lang w:val="hr-HR"/>
        </w:rPr>
        <w:t>, od 26.02.2026. godine</w:t>
      </w:r>
      <w:r>
        <w:rPr/>
        <w:t>), članaka 4., stavka 2. i članka 8., stavka 2. Zakona o zaštiti od p</w:t>
      </w:r>
      <w:r>
        <w:rPr>
          <w:color w:val="000000"/>
        </w:rPr>
        <w:t>ožara („Narodne novine“ broj 92/10 i 114/22) i članka 19., stavka 1., točke 2. Statuta Općine Negosla</w:t>
      </w:r>
      <w:r>
        <w:rPr/>
        <w:t>vci („Službeni glasnik Općine Negoslavci” bro</w:t>
      </w:r>
      <w:r>
        <w:rPr>
          <w:color w:val="000000"/>
        </w:rPr>
        <w:t>j 4/25) O</w:t>
      </w:r>
      <w:r>
        <w:rPr/>
        <w:t>pćinsko vijeće Općine Negoslavci na svojoj redovnoj sjednici dana 25.06.2026. godine donosi</w:t>
      </w:r>
    </w:p>
    <w:p>
      <w:pPr>
        <w:pStyle w:val="Normal"/>
        <w:bidi w:val="0"/>
        <w:jc w:val="both"/>
        <w:rPr>
          <w:rFonts w:ascii="Times New Roman" w:hAnsi="Times New Roman"/>
          <w:sz w:val="24"/>
          <w:szCs w:val="24"/>
        </w:rPr>
      </w:pPr>
      <w:r>
        <w:rPr>
          <w:rFonts w:ascii="Times New Roman" w:hAnsi="Times New Roman"/>
          <w:sz w:val="24"/>
          <w:szCs w:val="24"/>
        </w:rPr>
      </w:r>
    </w:p>
    <w:p>
      <w:pPr>
        <w:pStyle w:val="Normal"/>
        <w:bidi w:val="0"/>
        <w:jc w:val="center"/>
        <w:rPr>
          <w:rFonts w:ascii="Times New Roman" w:hAnsi="Times New Roman"/>
        </w:rPr>
      </w:pPr>
      <w:r>
        <w:rPr>
          <w:rFonts w:ascii="Times New Roman" w:hAnsi="Times New Roman"/>
          <w:b/>
          <w:sz w:val="24"/>
          <w:szCs w:val="24"/>
        </w:rPr>
        <w:t>ZAKLJUČAK</w:t>
      </w:r>
    </w:p>
    <w:p>
      <w:pPr>
        <w:pStyle w:val="Normal"/>
        <w:bidi w:val="0"/>
        <w:jc w:val="center"/>
        <w:rPr>
          <w:rFonts w:ascii="Times New Roman" w:hAnsi="Times New Roman"/>
        </w:rPr>
      </w:pPr>
      <w:r>
        <w:rPr>
          <w:rFonts w:ascii="Times New Roman" w:hAnsi="Times New Roman"/>
          <w:b/>
          <w:sz w:val="24"/>
          <w:szCs w:val="24"/>
        </w:rPr>
        <w:t xml:space="preserve">o donošenju protupožarnih akata za područje </w:t>
      </w:r>
    </w:p>
    <w:p>
      <w:pPr>
        <w:pStyle w:val="Normal"/>
        <w:bidi w:val="0"/>
        <w:jc w:val="center"/>
        <w:rPr>
          <w:rFonts w:ascii="Times New Roman" w:hAnsi="Times New Roman"/>
        </w:rPr>
      </w:pPr>
      <w:r>
        <w:rPr>
          <w:rFonts w:ascii="Times New Roman" w:hAnsi="Times New Roman"/>
          <w:b/>
          <w:sz w:val="24"/>
          <w:szCs w:val="24"/>
        </w:rPr>
        <w:t>Općine Negoslavci u 2026. godini</w:t>
      </w:r>
    </w:p>
    <w:p>
      <w:pPr>
        <w:pStyle w:val="Normal"/>
        <w:bidi w:val="0"/>
        <w:jc w:val="center"/>
        <w:rPr>
          <w:rFonts w:ascii="Times New Roman" w:hAnsi="Times New Roman"/>
          <w:b/>
          <w:b/>
          <w:sz w:val="24"/>
          <w:szCs w:val="24"/>
        </w:rPr>
      </w:pPr>
      <w:r>
        <w:rPr>
          <w:rFonts w:ascii="Times New Roman" w:hAnsi="Times New Roman"/>
          <w:b/>
          <w:sz w:val="24"/>
          <w:szCs w:val="24"/>
        </w:rPr>
      </w:r>
    </w:p>
    <w:p>
      <w:pPr>
        <w:pStyle w:val="Normal"/>
        <w:bidi w:val="0"/>
        <w:jc w:val="center"/>
        <w:rPr>
          <w:rFonts w:ascii="Times New Roman" w:hAnsi="Times New Roman"/>
        </w:rPr>
      </w:pPr>
      <w:r>
        <w:rPr>
          <w:rFonts w:ascii="Times New Roman" w:hAnsi="Times New Roman"/>
          <w:b/>
          <w:sz w:val="24"/>
          <w:szCs w:val="24"/>
        </w:rPr>
        <w:t>I</w:t>
      </w:r>
    </w:p>
    <w:p>
      <w:pPr>
        <w:pStyle w:val="Normal"/>
        <w:bidi w:val="0"/>
        <w:jc w:val="both"/>
        <w:rPr>
          <w:rFonts w:ascii="Times New Roman" w:hAnsi="Times New Roman"/>
        </w:rPr>
      </w:pPr>
      <w:r>
        <w:rPr>
          <w:rFonts w:ascii="Times New Roman" w:hAnsi="Times New Roman"/>
          <w:sz w:val="24"/>
          <w:szCs w:val="24"/>
        </w:rPr>
        <w:tab/>
        <w:t>Utvrđuje se</w:t>
      </w:r>
      <w:r>
        <w:rPr>
          <w:rFonts w:ascii="Times New Roman" w:hAnsi="Times New Roman"/>
          <w:color w:val="000000"/>
          <w:sz w:val="24"/>
          <w:szCs w:val="24"/>
        </w:rPr>
        <w:t xml:space="preserve"> da su u 2026. godini doneseni sljedeći opći akti na području protupožarne zaštite u Općini Negoslavci:</w:t>
      </w:r>
    </w:p>
    <w:p>
      <w:pPr>
        <w:pStyle w:val="ListParagraph"/>
        <w:numPr>
          <w:ilvl w:val="0"/>
          <w:numId w:val="4"/>
        </w:numPr>
        <w:bidi w:val="0"/>
        <w:jc w:val="both"/>
        <w:rPr>
          <w:color w:val="000000"/>
        </w:rPr>
      </w:pPr>
      <w:r>
        <w:rPr>
          <w:rFonts w:ascii="Times New Roman" w:hAnsi="Times New Roman"/>
          <w:color w:val="000000"/>
          <w:sz w:val="24"/>
          <w:szCs w:val="24"/>
        </w:rPr>
        <w:t xml:space="preserve">Plan operativne provedbe mjera zaštite od požara na otvorenom prostoru za vrijeme žetve 2026. godine (KLASA: 250-04/25-01/02, URBROJ: 2196-19-01-26-01, od </w:t>
      </w:r>
      <w:r>
        <w:rPr>
          <w:rFonts w:ascii="Times New Roman" w:hAnsi="Times New Roman"/>
          <w:b w:val="false"/>
          <w:bCs w:val="false"/>
          <w:color w:val="000000"/>
          <w:sz w:val="24"/>
          <w:szCs w:val="24"/>
        </w:rPr>
        <w:t>15</w:t>
      </w:r>
      <w:r>
        <w:rPr>
          <w:rFonts w:ascii="Times New Roman" w:hAnsi="Times New Roman"/>
          <w:color w:val="000000"/>
          <w:sz w:val="24"/>
          <w:szCs w:val="24"/>
        </w:rPr>
        <w:t>.04.2026. godine),</w:t>
      </w:r>
    </w:p>
    <w:p>
      <w:pPr>
        <w:pStyle w:val="ListParagraph"/>
        <w:numPr>
          <w:ilvl w:val="0"/>
          <w:numId w:val="4"/>
        </w:numPr>
        <w:bidi w:val="0"/>
        <w:jc w:val="both"/>
        <w:rPr>
          <w:color w:val="000000"/>
        </w:rPr>
      </w:pPr>
      <w:r>
        <w:rPr>
          <w:rFonts w:ascii="Times New Roman" w:hAnsi="Times New Roman"/>
          <w:color w:val="000000"/>
          <w:sz w:val="24"/>
          <w:szCs w:val="24"/>
        </w:rPr>
        <w:t xml:space="preserve">Naredba o zabrani </w:t>
      </w:r>
      <w:r>
        <w:rPr>
          <w:rFonts w:ascii="Times New Roman" w:hAnsi="Times New Roman"/>
          <w:color w:val="000000"/>
          <w:sz w:val="24"/>
          <w:szCs w:val="24"/>
          <w:lang w:val="sr-RS"/>
        </w:rPr>
        <w:t>svih</w:t>
      </w:r>
      <w:r>
        <w:rPr>
          <w:rFonts w:ascii="Times New Roman" w:hAnsi="Times New Roman"/>
          <w:color w:val="000000"/>
          <w:sz w:val="24"/>
          <w:szCs w:val="24"/>
        </w:rPr>
        <w:t xml:space="preserve"> vrsta spaljivanja na otvorenom za vrijeme žetve i vršidbe na području Općine u 2026. godini (KLASA: </w:t>
      </w:r>
      <w:r>
        <w:rPr>
          <w:rFonts w:ascii="Times New Roman" w:hAnsi="Times New Roman"/>
          <w:b w:val="false"/>
          <w:bCs w:val="false"/>
          <w:color w:val="000000"/>
          <w:sz w:val="24"/>
          <w:szCs w:val="24"/>
        </w:rPr>
        <w:t>250-04/26-01/02</w:t>
      </w:r>
      <w:r>
        <w:rPr>
          <w:rFonts w:ascii="Times New Roman" w:hAnsi="Times New Roman"/>
          <w:color w:val="000000"/>
          <w:sz w:val="24"/>
          <w:szCs w:val="24"/>
        </w:rPr>
        <w:t xml:space="preserve">, URBROJ: 2196-19-01-26-02, od </w:t>
      </w:r>
      <w:r>
        <w:rPr>
          <w:rFonts w:ascii="Times New Roman" w:hAnsi="Times New Roman"/>
          <w:b w:val="false"/>
          <w:bCs w:val="false"/>
          <w:color w:val="000000"/>
          <w:sz w:val="24"/>
          <w:szCs w:val="24"/>
        </w:rPr>
        <w:t>15</w:t>
      </w:r>
      <w:r>
        <w:rPr>
          <w:rFonts w:ascii="Times New Roman" w:hAnsi="Times New Roman"/>
          <w:color w:val="000000"/>
          <w:sz w:val="24"/>
          <w:szCs w:val="24"/>
        </w:rPr>
        <w:t>.04.2026. godine),</w:t>
      </w:r>
    </w:p>
    <w:p>
      <w:pPr>
        <w:pStyle w:val="ListParagraph"/>
        <w:numPr>
          <w:ilvl w:val="0"/>
          <w:numId w:val="4"/>
        </w:numPr>
        <w:bidi w:val="0"/>
        <w:jc w:val="both"/>
        <w:rPr>
          <w:rFonts w:ascii="Times New Roman" w:hAnsi="Times New Roman"/>
        </w:rPr>
      </w:pPr>
      <w:r>
        <w:rPr>
          <w:rFonts w:ascii="Times New Roman" w:hAnsi="Times New Roman"/>
          <w:b w:val="false"/>
          <w:bCs w:val="false"/>
          <w:color w:val="000000"/>
          <w:sz w:val="24"/>
          <w:szCs w:val="24"/>
        </w:rPr>
        <w:t xml:space="preserve">Izvješće </w:t>
      </w:r>
      <w:r>
        <w:rPr>
          <w:rFonts w:ascii="Times New Roman" w:hAnsi="Times New Roman"/>
          <w:b w:val="false"/>
          <w:bCs w:val="false"/>
          <w:color w:val="000000"/>
          <w:sz w:val="24"/>
          <w:szCs w:val="24"/>
          <w:lang w:val="hr-HR"/>
        </w:rPr>
        <w:t>o provedbi protupožarnih pripremnih aktivnosti u 2026. godini na području Općine Negoslavci</w:t>
      </w:r>
      <w:r>
        <w:rPr>
          <w:rFonts w:ascii="Times New Roman" w:hAnsi="Times New Roman"/>
          <w:b/>
          <w:color w:val="000000"/>
          <w:sz w:val="24"/>
          <w:szCs w:val="24"/>
          <w:lang w:val="hr-HR"/>
        </w:rPr>
        <w:t xml:space="preserve"> </w:t>
      </w:r>
      <w:r>
        <w:rPr>
          <w:rFonts w:ascii="Times New Roman" w:hAnsi="Times New Roman"/>
          <w:color w:val="000000"/>
          <w:sz w:val="24"/>
          <w:szCs w:val="24"/>
        </w:rPr>
        <w:t xml:space="preserve">(KLASA: </w:t>
      </w:r>
      <w:r>
        <w:rPr>
          <w:rFonts w:ascii="Times New Roman" w:hAnsi="Times New Roman"/>
          <w:color w:val="000000"/>
          <w:sz w:val="24"/>
          <w:szCs w:val="24"/>
          <w:lang w:val="hr-HR"/>
        </w:rPr>
        <w:t>250-04/26-01/07</w:t>
      </w:r>
      <w:r>
        <w:rPr>
          <w:rFonts w:ascii="Times New Roman" w:hAnsi="Times New Roman"/>
          <w:color w:val="000000"/>
          <w:sz w:val="24"/>
          <w:szCs w:val="24"/>
        </w:rPr>
        <w:t xml:space="preserve">, URBROJ: </w:t>
      </w:r>
      <w:r>
        <w:rPr>
          <w:rFonts w:ascii="Times New Roman" w:hAnsi="Times New Roman"/>
          <w:color w:val="000000"/>
          <w:sz w:val="24"/>
          <w:szCs w:val="24"/>
          <w:lang w:val="hr-HR"/>
        </w:rPr>
        <w:t>2196-19-01-26-01</w:t>
      </w:r>
      <w:r>
        <w:rPr>
          <w:rFonts w:ascii="Times New Roman" w:hAnsi="Times New Roman"/>
          <w:color w:val="000000"/>
          <w:sz w:val="24"/>
          <w:szCs w:val="24"/>
        </w:rPr>
        <w:t xml:space="preserve">, od </w:t>
      </w:r>
      <w:r>
        <w:rPr>
          <w:rFonts w:ascii="Times New Roman" w:hAnsi="Times New Roman"/>
          <w:b w:val="false"/>
          <w:bCs w:val="false"/>
          <w:color w:val="000000"/>
          <w:sz w:val="24"/>
          <w:szCs w:val="24"/>
          <w:lang w:val="hr-HR"/>
        </w:rPr>
        <w:t>16</w:t>
      </w:r>
      <w:r>
        <w:rPr>
          <w:rFonts w:ascii="Times New Roman" w:hAnsi="Times New Roman"/>
          <w:color w:val="000000"/>
          <w:sz w:val="24"/>
          <w:szCs w:val="24"/>
          <w:lang w:val="hr-HR"/>
        </w:rPr>
        <w:t>.05.2026. godine</w:t>
      </w:r>
      <w:r>
        <w:rPr>
          <w:rFonts w:ascii="Times New Roman" w:hAnsi="Times New Roman"/>
          <w:color w:val="000000"/>
          <w:sz w:val="24"/>
          <w:szCs w:val="24"/>
        </w:rPr>
        <w:t>),</w:t>
      </w:r>
    </w:p>
    <w:p>
      <w:pPr>
        <w:pStyle w:val="ListParagraph"/>
        <w:numPr>
          <w:ilvl w:val="0"/>
          <w:numId w:val="4"/>
        </w:numPr>
        <w:bidi w:val="0"/>
        <w:jc w:val="both"/>
        <w:rPr>
          <w:rFonts w:ascii="Times New Roman" w:hAnsi="Times New Roman"/>
        </w:rPr>
      </w:pPr>
      <w:r>
        <w:rPr>
          <w:rFonts w:ascii="Times New Roman" w:hAnsi="Times New Roman"/>
          <w:color w:val="000000"/>
          <w:sz w:val="24"/>
          <w:szCs w:val="24"/>
        </w:rPr>
        <w:t>Odluka o uvjetima spaljivanja korova, trava i drugog otpadnog materijala biljnog porijekla (KLASA: 250-04/26-01/03, URBROJ:  2196-19-01-26-01, od 15.04.2026. godine),</w:t>
      </w:r>
    </w:p>
    <w:p>
      <w:pPr>
        <w:pStyle w:val="ListParagraph"/>
        <w:numPr>
          <w:ilvl w:val="0"/>
          <w:numId w:val="4"/>
        </w:numPr>
        <w:bidi w:val="0"/>
        <w:jc w:val="both"/>
        <w:rPr>
          <w:rFonts w:ascii="Times New Roman" w:hAnsi="Times New Roman"/>
        </w:rPr>
      </w:pPr>
      <w:r>
        <w:rPr>
          <w:rFonts w:ascii="Times New Roman" w:hAnsi="Times New Roman"/>
          <w:color w:val="000000"/>
          <w:sz w:val="24"/>
          <w:szCs w:val="24"/>
        </w:rPr>
        <w:t>Odluka o mjerama zaštite od požara za vrijeme žetve i vršidbe (KLASA: 250-04/25-01/09, URBROJ:  2196-19-01-26-01, od 25.06.2026. godine.</w:t>
      </w:r>
    </w:p>
    <w:p>
      <w:pPr>
        <w:pStyle w:val="Normal"/>
        <w:bidi w:val="0"/>
        <w:jc w:val="center"/>
        <w:rPr>
          <w:rFonts w:ascii="Times New Roman" w:hAnsi="Times New Roman"/>
          <w:sz w:val="24"/>
          <w:szCs w:val="24"/>
        </w:rPr>
      </w:pPr>
      <w:r>
        <w:rPr>
          <w:rFonts w:ascii="Times New Roman" w:hAnsi="Times New Roman"/>
          <w:sz w:val="24"/>
          <w:szCs w:val="24"/>
        </w:rPr>
      </w:r>
    </w:p>
    <w:p>
      <w:pPr>
        <w:pStyle w:val="Normal"/>
        <w:bidi w:val="0"/>
        <w:jc w:val="center"/>
        <w:rPr>
          <w:rFonts w:ascii="Times New Roman" w:hAnsi="Times New Roman"/>
        </w:rPr>
      </w:pPr>
      <w:r>
        <w:rPr>
          <w:rFonts w:ascii="Times New Roman" w:hAnsi="Times New Roman"/>
          <w:b/>
          <w:sz w:val="24"/>
          <w:szCs w:val="24"/>
        </w:rPr>
        <w:t>II</w:t>
      </w:r>
    </w:p>
    <w:p>
      <w:pPr>
        <w:pStyle w:val="Normal"/>
        <w:bidi w:val="0"/>
        <w:jc w:val="both"/>
        <w:rPr>
          <w:rFonts w:ascii="Times New Roman" w:hAnsi="Times New Roman"/>
        </w:rPr>
      </w:pPr>
      <w:r>
        <w:rPr>
          <w:rFonts w:ascii="Times New Roman" w:hAnsi="Times New Roman"/>
          <w:sz w:val="24"/>
          <w:szCs w:val="24"/>
        </w:rPr>
        <w:tab/>
        <w:t>Ovlašćuje se Općinski načelnik radi donošenja svih ostalih eventualnih nužnih protupožarnih akata, mjera te da organizira potrebne aktivnosti u području protu</w:t>
      </w:r>
      <w:bookmarkStart w:id="47" w:name="_GoBack2"/>
      <w:bookmarkEnd w:id="47"/>
      <w:r>
        <w:rPr>
          <w:rFonts w:ascii="Times New Roman" w:hAnsi="Times New Roman"/>
          <w:sz w:val="24"/>
          <w:szCs w:val="24"/>
        </w:rPr>
        <w:t>požarne zaštite.</w:t>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both"/>
        <w:rPr>
          <w:b w:val="false"/>
          <w:b w:val="false"/>
          <w:bCs w:val="false"/>
        </w:rPr>
      </w:pPr>
      <w:r>
        <w:rPr>
          <w:rFonts w:ascii="Times New Roman" w:hAnsi="Times New Roman"/>
          <w:b w:val="false"/>
          <w:bCs w:val="false"/>
          <w:sz w:val="24"/>
          <w:szCs w:val="24"/>
        </w:rPr>
        <w:t>K</w:t>
      </w:r>
      <w:r>
        <w:rPr>
          <w:rFonts w:ascii="Times New Roman" w:hAnsi="Times New Roman"/>
          <w:b w:val="false"/>
          <w:bCs w:val="false"/>
          <w:color w:val="000000"/>
          <w:sz w:val="24"/>
          <w:szCs w:val="24"/>
        </w:rPr>
        <w:t>LASA: 250-04/26-01/09</w:t>
      </w:r>
    </w:p>
    <w:p>
      <w:pPr>
        <w:pStyle w:val="Normal"/>
        <w:bidi w:val="0"/>
        <w:jc w:val="both"/>
        <w:rPr>
          <w:b w:val="false"/>
          <w:b w:val="false"/>
          <w:bCs w:val="false"/>
        </w:rPr>
      </w:pPr>
      <w:r>
        <w:rPr>
          <w:rFonts w:ascii="Times New Roman" w:hAnsi="Times New Roman"/>
          <w:b w:val="false"/>
          <w:bCs w:val="false"/>
          <w:color w:val="000000"/>
          <w:sz w:val="24"/>
          <w:szCs w:val="24"/>
        </w:rPr>
        <w:t>URBROJ: 2196-19-02-26-01</w:t>
      </w:r>
    </w:p>
    <w:p>
      <w:pPr>
        <w:pStyle w:val="Normal"/>
        <w:bidi w:val="0"/>
        <w:jc w:val="both"/>
        <w:rPr>
          <w:b w:val="false"/>
          <w:b w:val="false"/>
          <w:bCs w:val="false"/>
        </w:rPr>
      </w:pPr>
      <w:r>
        <w:rPr>
          <w:b w:val="false"/>
          <w:bCs w:val="false"/>
        </w:rPr>
        <w:t xml:space="preserve">Negoslavci, 25. lipnja 2026. </w:t>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center"/>
        <w:rPr/>
      </w:pPr>
      <w:r>
        <w:rPr>
          <w:rFonts w:ascii="Times New Roman" w:hAnsi="Times New Roman"/>
          <w:b/>
          <w:sz w:val="24"/>
          <w:szCs w:val="24"/>
        </w:rPr>
        <w:t>PREDSJEDNIK OPĆINSKOG VIJEĆA:</w:t>
      </w:r>
    </w:p>
    <w:p>
      <w:pPr>
        <w:pStyle w:val="Normal"/>
        <w:bidi w:val="0"/>
        <w:jc w:val="center"/>
        <w:rPr/>
      </w:pPr>
      <w:r>
        <w:rPr>
          <w:sz w:val="24"/>
          <w:szCs w:val="24"/>
        </w:rPr>
        <w:t>Miodrag Mišanović</w:t>
      </w:r>
    </w:p>
    <w:p>
      <w:pPr>
        <w:pStyle w:val="Normal"/>
        <w:bidi w:val="0"/>
        <w:jc w:val="center"/>
        <w:rPr/>
      </w:pPr>
      <w:r>
        <w:rPr/>
        <w:drawing>
          <wp:inline distT="0" distB="0" distL="0" distR="0">
            <wp:extent cx="5761355" cy="36830"/>
            <wp:effectExtent l="0" t="0" r="0" b="0"/>
            <wp:docPr id="12" name="Slik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6" descr=""/>
                    <pic:cNvPicPr>
                      <a:picLocks noChangeAspect="1" noChangeArrowheads="1"/>
                    </pic:cNvPicPr>
                  </pic:nvPicPr>
                  <pic:blipFill>
                    <a:blip r:embed="rId37"/>
                    <a:stretch>
                      <a:fillRect/>
                    </a:stretch>
                  </pic:blipFill>
                  <pic:spPr bwMode="auto">
                    <a:xfrm>
                      <a:off x="0" y="0"/>
                      <a:ext cx="5761355" cy="36830"/>
                    </a:xfrm>
                    <a:prstGeom prst="rect">
                      <a:avLst/>
                    </a:prstGeom>
                  </pic:spPr>
                </pic:pic>
              </a:graphicData>
            </a:graphic>
          </wp:inline>
        </w:drawing>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keepNext w:val="true"/>
        <w:ind w:hanging="0"/>
        <w:jc w:val="both"/>
        <w:rPr/>
      </w:pPr>
      <w:r>
        <w:rPr>
          <w:rFonts w:cs="Times New Roman" w:ascii="Times New Roman" w:hAnsi="Times New Roman"/>
          <w:sz w:val="24"/>
          <w:szCs w:val="24"/>
          <w:lang w:val="hr-HR"/>
        </w:rPr>
        <w:tab/>
        <w:t>Temeljem članka 9. stavak 2. Zakona o plaći u lokalnoj i područnoj (regionalnoj) samoupravi (NN br. 28/10 i 10/23), članka 3. stavka 1., točka 2. Dodatka V. Kolektivnom ugovoru za državne službenike i namještenike (NN br. 11/26) i članka. 32. Statuta Općine Negoslavci, stavka. 2., točka 2. (Službeni glasnik Općine Negoslavci 4/25) Općinski načelnik Općine Negoslavci donosi</w:t>
      </w:r>
    </w:p>
    <w:p>
      <w:pPr>
        <w:pStyle w:val="Normal"/>
        <w:ind w:hanging="0"/>
        <w:jc w:val="both"/>
        <w:rPr>
          <w:rFonts w:ascii="Times New Roman" w:hAnsi="Times New Roman" w:cs="Times New Roman"/>
          <w:sz w:val="24"/>
          <w:szCs w:val="24"/>
          <w:lang w:val="hr-HR"/>
        </w:rPr>
      </w:pPr>
      <w:r>
        <w:rPr/>
      </w:r>
    </w:p>
    <w:p>
      <w:pPr>
        <w:pStyle w:val="Normal"/>
        <w:keepNext w:val="true"/>
        <w:jc w:val="center"/>
        <w:rPr/>
      </w:pPr>
      <w:r>
        <w:rPr>
          <w:rFonts w:cs="Times New Roman" w:ascii="Times New Roman" w:hAnsi="Times New Roman"/>
          <w:b/>
          <w:sz w:val="24"/>
          <w:szCs w:val="24"/>
          <w:lang w:val="hr-HR"/>
        </w:rPr>
        <w:t>ODLUKU</w:t>
      </w:r>
    </w:p>
    <w:p>
      <w:pPr>
        <w:pStyle w:val="Normal"/>
        <w:keepNext w:val="true"/>
        <w:jc w:val="center"/>
        <w:rPr/>
      </w:pPr>
      <w:r>
        <w:rPr>
          <w:rFonts w:cs="Times New Roman" w:ascii="Times New Roman" w:hAnsi="Times New Roman"/>
          <w:b/>
          <w:sz w:val="24"/>
          <w:szCs w:val="24"/>
          <w:lang w:val="hr-HR"/>
        </w:rPr>
        <w:t xml:space="preserve"> </w:t>
      </w:r>
      <w:r>
        <w:rPr>
          <w:rFonts w:cs="Times New Roman" w:ascii="Times New Roman" w:hAnsi="Times New Roman"/>
          <w:b/>
          <w:sz w:val="24"/>
          <w:szCs w:val="24"/>
          <w:lang w:val="hr-HR"/>
        </w:rPr>
        <w:t>o visini osnovice za obračun plaće lokalnih službenika</w:t>
      </w:r>
    </w:p>
    <w:p>
      <w:pPr>
        <w:pStyle w:val="Normal"/>
        <w:keepNext w:val="true"/>
        <w:jc w:val="center"/>
        <w:rPr/>
      </w:pPr>
      <w:r>
        <w:rPr>
          <w:rFonts w:cs="Times New Roman" w:ascii="Times New Roman" w:hAnsi="Times New Roman"/>
          <w:b/>
          <w:sz w:val="24"/>
          <w:szCs w:val="24"/>
          <w:lang w:val="hr-HR"/>
        </w:rPr>
        <w:t>i namještenika u Općini Negoslavci</w:t>
      </w:r>
    </w:p>
    <w:p>
      <w:pPr>
        <w:pStyle w:val="Normal"/>
        <w:keepNext w:val="true"/>
        <w:jc w:val="center"/>
        <w:rPr>
          <w:rFonts w:ascii="Times New Roman" w:hAnsi="Times New Roman" w:cs="Times New Roman"/>
          <w:b/>
          <w:b/>
          <w:sz w:val="24"/>
          <w:szCs w:val="24"/>
          <w:lang w:val="hr-HR"/>
        </w:rPr>
      </w:pPr>
      <w:r>
        <w:rPr>
          <w:rFonts w:cs="Times New Roman" w:ascii="Times New Roman" w:hAnsi="Times New Roman"/>
          <w:b/>
          <w:sz w:val="24"/>
          <w:szCs w:val="24"/>
          <w:lang w:val="hr-HR"/>
        </w:rPr>
      </w:r>
    </w:p>
    <w:p>
      <w:pPr>
        <w:pStyle w:val="Normal"/>
        <w:keepNext w:val="true"/>
        <w:jc w:val="center"/>
        <w:rPr/>
      </w:pPr>
      <w:r>
        <w:rPr>
          <w:rFonts w:cs="Times New Roman" w:ascii="Times New Roman" w:hAnsi="Times New Roman"/>
          <w:b/>
          <w:bCs/>
          <w:sz w:val="24"/>
          <w:szCs w:val="24"/>
          <w:lang w:val="hr-HR"/>
        </w:rPr>
        <w:t>Članak 1</w:t>
      </w:r>
      <w:r>
        <w:rPr>
          <w:rFonts w:cs="Times New Roman" w:ascii="Times New Roman" w:hAnsi="Times New Roman"/>
          <w:sz w:val="24"/>
          <w:szCs w:val="24"/>
          <w:lang w:val="hr-HR"/>
        </w:rPr>
        <w:t>.</w:t>
      </w:r>
    </w:p>
    <w:p>
      <w:pPr>
        <w:pStyle w:val="Normal"/>
        <w:keepNext w:val="true"/>
        <w:ind w:firstLine="720"/>
        <w:jc w:val="both"/>
        <w:rPr/>
      </w:pPr>
      <w:r>
        <w:rPr>
          <w:rFonts w:cs="Times New Roman" w:ascii="Times New Roman" w:hAnsi="Times New Roman"/>
          <w:sz w:val="24"/>
          <w:szCs w:val="24"/>
          <w:lang w:val="hr-HR"/>
        </w:rPr>
        <w:t>Ovom Odlukom određuju se osnovica za obračun plaće lokalnih službenika i namještenika u Jedinstvenom upravnom odjelu Općine Negoslavci.</w:t>
      </w:r>
    </w:p>
    <w:p>
      <w:pPr>
        <w:pStyle w:val="Normal"/>
        <w:keepNext w:val="true"/>
        <w:jc w:val="both"/>
        <w:rPr>
          <w:rFonts w:ascii="Times New Roman" w:hAnsi="Times New Roman" w:cs="Times New Roman"/>
          <w:sz w:val="24"/>
          <w:szCs w:val="24"/>
          <w:lang w:val="hr-HR"/>
        </w:rPr>
      </w:pPr>
      <w:r>
        <w:rPr>
          <w:rFonts w:cs="Times New Roman" w:ascii="Times New Roman" w:hAnsi="Times New Roman"/>
          <w:sz w:val="24"/>
          <w:szCs w:val="24"/>
          <w:lang w:val="hr-HR"/>
        </w:rPr>
      </w:r>
    </w:p>
    <w:p>
      <w:pPr>
        <w:pStyle w:val="Normal"/>
        <w:keepNext w:val="true"/>
        <w:jc w:val="center"/>
        <w:rPr>
          <w:rFonts w:ascii="Times New Roman" w:hAnsi="Times New Roman" w:cs="Times New Roman"/>
          <w:b/>
          <w:b/>
          <w:bCs/>
          <w:sz w:val="24"/>
          <w:szCs w:val="24"/>
          <w:lang w:val="hr-HR"/>
        </w:rPr>
      </w:pPr>
      <w:r>
        <w:rPr>
          <w:rFonts w:cs="Times New Roman" w:ascii="Times New Roman" w:hAnsi="Times New Roman"/>
          <w:b/>
          <w:bCs/>
          <w:sz w:val="24"/>
          <w:szCs w:val="24"/>
          <w:lang w:val="hr-HR"/>
        </w:rPr>
        <w:t>Članak 2.</w:t>
      </w:r>
    </w:p>
    <w:p>
      <w:pPr>
        <w:pStyle w:val="Normal"/>
        <w:keepNext w:val="true"/>
        <w:ind w:firstLine="720"/>
        <w:jc w:val="both"/>
        <w:rPr/>
      </w:pPr>
      <w:r>
        <w:rPr>
          <w:rFonts w:cs="Times New Roman" w:ascii="Times New Roman" w:hAnsi="Times New Roman"/>
          <w:sz w:val="24"/>
          <w:szCs w:val="24"/>
          <w:lang w:val="hr-HR"/>
        </w:rPr>
        <w:t>Osnovica za obračun plaće službenika i namještenika Jedinstvenog upravnog odjela Općine Negoslavci utvrđuje se u iznosu od 1015,00 eura bruto.</w:t>
      </w:r>
    </w:p>
    <w:p>
      <w:pPr>
        <w:pStyle w:val="Normal"/>
        <w:keepNext w:val="true"/>
        <w:jc w:val="both"/>
        <w:rPr>
          <w:rFonts w:ascii="Times New Roman" w:hAnsi="Times New Roman" w:cs="Times New Roman"/>
          <w:sz w:val="24"/>
          <w:szCs w:val="24"/>
          <w:lang w:val="hr-HR"/>
        </w:rPr>
      </w:pPr>
      <w:r>
        <w:rPr>
          <w:rFonts w:cs="Times New Roman" w:ascii="Times New Roman" w:hAnsi="Times New Roman"/>
          <w:sz w:val="24"/>
          <w:szCs w:val="24"/>
          <w:lang w:val="hr-HR"/>
        </w:rPr>
      </w:r>
    </w:p>
    <w:p>
      <w:pPr>
        <w:pStyle w:val="Normal"/>
        <w:keepNext w:val="true"/>
        <w:jc w:val="center"/>
        <w:rPr/>
      </w:pPr>
      <w:r>
        <w:rPr>
          <w:rFonts w:cs="Times New Roman" w:ascii="Times New Roman" w:hAnsi="Times New Roman"/>
          <w:b/>
          <w:bCs/>
          <w:sz w:val="24"/>
          <w:szCs w:val="24"/>
          <w:lang w:val="hr-HR"/>
        </w:rPr>
        <w:t>Članak 3.</w:t>
      </w:r>
    </w:p>
    <w:p>
      <w:pPr>
        <w:pStyle w:val="Normal"/>
        <w:keepNext w:val="true"/>
        <w:ind w:firstLine="720"/>
        <w:jc w:val="both"/>
        <w:rPr/>
      </w:pPr>
      <w:r>
        <w:rPr>
          <w:rFonts w:cs="Times New Roman" w:ascii="Times New Roman" w:hAnsi="Times New Roman"/>
          <w:sz w:val="24"/>
          <w:szCs w:val="24"/>
          <w:lang w:val="hr-HR"/>
        </w:rPr>
        <w:t>Stupanjem na snagu ove Odluke, stavlja se izvan snage Odluka o visini osnovice za obračun plaće lokalnih službenika i namještenika u Općini Negoslavci (KLASA: 120-01/22-01/01 URBROJ: 2196-19-01-23-7) od 26.9.2024.godine.</w:t>
      </w:r>
    </w:p>
    <w:p>
      <w:pPr>
        <w:pStyle w:val="Normal"/>
        <w:keepNext w:val="true"/>
        <w:jc w:val="both"/>
        <w:rPr>
          <w:rFonts w:ascii="Times New Roman" w:hAnsi="Times New Roman" w:cs="Times New Roman"/>
          <w:sz w:val="24"/>
          <w:szCs w:val="24"/>
          <w:lang w:val="hr-HR"/>
        </w:rPr>
      </w:pPr>
      <w:r>
        <w:rPr>
          <w:rFonts w:cs="Times New Roman" w:ascii="Times New Roman" w:hAnsi="Times New Roman"/>
          <w:sz w:val="24"/>
          <w:szCs w:val="24"/>
          <w:lang w:val="hr-HR"/>
        </w:rPr>
      </w:r>
    </w:p>
    <w:p>
      <w:pPr>
        <w:pStyle w:val="Normal"/>
        <w:keepNext w:val="true"/>
        <w:jc w:val="center"/>
        <w:rPr/>
      </w:pPr>
      <w:r>
        <w:rPr>
          <w:rFonts w:cs="Times New Roman" w:ascii="Times New Roman" w:hAnsi="Times New Roman"/>
          <w:b/>
          <w:bCs/>
          <w:sz w:val="24"/>
          <w:szCs w:val="24"/>
          <w:lang w:val="hr-HR"/>
        </w:rPr>
        <w:t>Članak 4.</w:t>
      </w:r>
    </w:p>
    <w:p>
      <w:pPr>
        <w:pStyle w:val="Normal"/>
        <w:keepNext w:val="true"/>
        <w:ind w:firstLine="720"/>
        <w:jc w:val="both"/>
        <w:rPr/>
      </w:pPr>
      <w:r>
        <w:rPr>
          <w:rFonts w:cs="Times New Roman" w:ascii="Times New Roman" w:hAnsi="Times New Roman"/>
          <w:sz w:val="24"/>
          <w:szCs w:val="24"/>
          <w:lang w:val="hr-HR"/>
        </w:rPr>
        <w:t>Odluka stupa na snagu dan nakon dana objave u Službenom glasniku Općine Negoslavci, a primjenjuje se na obračun plaće za 6. mjesec 2026. godine, a koja se isplaćuje u 7. mjesecu 2026.godine.</w:t>
      </w:r>
    </w:p>
    <w:p>
      <w:pPr>
        <w:pStyle w:val="Normal"/>
        <w:keepNext w:val="true"/>
        <w:jc w:val="both"/>
        <w:rPr>
          <w:rFonts w:ascii="Times New Roman" w:hAnsi="Times New Roman" w:cs="Times New Roman"/>
          <w:sz w:val="24"/>
          <w:szCs w:val="24"/>
          <w:lang w:val="hr-HR"/>
        </w:rPr>
      </w:pPr>
      <w:r>
        <w:rPr>
          <w:rFonts w:cs="Times New Roman" w:ascii="Times New Roman" w:hAnsi="Times New Roman"/>
          <w:sz w:val="24"/>
          <w:szCs w:val="24"/>
          <w:lang w:val="hr-HR"/>
        </w:rPr>
      </w:r>
    </w:p>
    <w:p>
      <w:pPr>
        <w:pStyle w:val="Normal"/>
        <w:keepNext w:val="true"/>
        <w:ind w:left="-709" w:firstLine="709"/>
        <w:rPr>
          <w:b w:val="false"/>
          <w:b w:val="false"/>
          <w:bCs w:val="false"/>
        </w:rPr>
      </w:pPr>
      <w:r>
        <w:rPr>
          <w:rFonts w:cs="Times New Roman" w:ascii="Times New Roman" w:hAnsi="Times New Roman"/>
          <w:b w:val="false"/>
          <w:bCs w:val="false"/>
          <w:sz w:val="24"/>
          <w:szCs w:val="24"/>
        </w:rPr>
        <w:t>KLASA: 120-01/22-01/01</w:t>
      </w:r>
    </w:p>
    <w:p>
      <w:pPr>
        <w:pStyle w:val="Normal"/>
        <w:keepNext w:val="true"/>
        <w:ind w:left="-709" w:firstLine="709"/>
        <w:rPr>
          <w:b w:val="false"/>
          <w:b w:val="false"/>
          <w:bCs w:val="false"/>
        </w:rPr>
      </w:pPr>
      <w:r>
        <w:rPr>
          <w:rFonts w:cs="Times New Roman" w:ascii="Times New Roman" w:hAnsi="Times New Roman"/>
          <w:b w:val="false"/>
          <w:bCs w:val="false"/>
          <w:sz w:val="24"/>
          <w:szCs w:val="24"/>
        </w:rPr>
        <w:t>URBROJ: 2196-19-01-26-08</w:t>
        <w:tab/>
      </w:r>
    </w:p>
    <w:p>
      <w:pPr>
        <w:pStyle w:val="Normal"/>
        <w:keepNext w:val="true"/>
        <w:ind w:left="-709" w:firstLine="709"/>
        <w:rPr>
          <w:b w:val="false"/>
          <w:b w:val="false"/>
          <w:bCs w:val="false"/>
        </w:rPr>
      </w:pPr>
      <w:r>
        <w:rPr>
          <w:b w:val="false"/>
          <w:bCs w:val="false"/>
        </w:rPr>
        <w:t xml:space="preserve">Negoslavci, 25. lipnja 2026. </w:t>
      </w:r>
    </w:p>
    <w:p>
      <w:pPr>
        <w:pStyle w:val="Normal"/>
        <w:ind w:left="-709" w:firstLine="709"/>
        <w:rPr>
          <w:b w:val="false"/>
          <w:b w:val="false"/>
          <w:bCs w:val="false"/>
        </w:rPr>
      </w:pPr>
      <w:r>
        <w:rPr>
          <w:b w:val="false"/>
          <w:bCs w:val="false"/>
        </w:rPr>
      </w:r>
    </w:p>
    <w:p>
      <w:pPr>
        <w:pStyle w:val="Normal"/>
        <w:keepNext w:val="true"/>
        <w:ind w:left="142" w:hanging="0"/>
        <w:rPr>
          <w:rFonts w:ascii="Times New Roman" w:hAnsi="Times New Roman" w:cs="Times New Roman"/>
          <w:b w:val="false"/>
          <w:b w:val="false"/>
          <w:bCs w:val="false"/>
          <w:sz w:val="24"/>
          <w:szCs w:val="24"/>
          <w:lang w:val="hr-HR"/>
        </w:rPr>
      </w:pPr>
      <w:r>
        <w:rPr>
          <w:rFonts w:cs="Times New Roman" w:ascii="Times New Roman" w:hAnsi="Times New Roman"/>
          <w:b w:val="false"/>
          <w:bCs w:val="false"/>
          <w:sz w:val="24"/>
          <w:szCs w:val="24"/>
          <w:lang w:val="hr-HR"/>
        </w:rPr>
        <w:t>DOSTAVITI:</w:t>
      </w:r>
    </w:p>
    <w:p>
      <w:pPr>
        <w:pStyle w:val="Normal"/>
        <w:keepNext w:val="true"/>
        <w:numPr>
          <w:ilvl w:val="0"/>
          <w:numId w:val="2"/>
        </w:numPr>
        <w:ind w:left="142" w:hanging="0"/>
        <w:rPr>
          <w:rFonts w:ascii="Times New Roman" w:hAnsi="Times New Roman" w:cs="Times New Roman"/>
          <w:sz w:val="24"/>
          <w:szCs w:val="24"/>
          <w:lang w:val="hr-HR"/>
        </w:rPr>
      </w:pPr>
      <w:r>
        <w:rPr>
          <w:rFonts w:cs="Times New Roman" w:ascii="Times New Roman" w:hAnsi="Times New Roman"/>
          <w:sz w:val="24"/>
          <w:szCs w:val="24"/>
          <w:lang w:val="hr-HR"/>
        </w:rPr>
        <w:t>Računovodstvo</w:t>
      </w:r>
    </w:p>
    <w:p>
      <w:pPr>
        <w:pStyle w:val="Normal"/>
        <w:keepNext w:val="true"/>
        <w:numPr>
          <w:ilvl w:val="0"/>
          <w:numId w:val="2"/>
        </w:numPr>
        <w:ind w:left="142" w:hanging="0"/>
        <w:rPr>
          <w:rFonts w:ascii="Times New Roman" w:hAnsi="Times New Roman" w:cs="Times New Roman"/>
          <w:sz w:val="24"/>
          <w:szCs w:val="24"/>
          <w:lang w:val="hr-HR"/>
        </w:rPr>
      </w:pPr>
      <w:r>
        <w:rPr>
          <w:rFonts w:cs="Times New Roman" w:ascii="Times New Roman" w:hAnsi="Times New Roman"/>
          <w:sz w:val="24"/>
          <w:szCs w:val="24"/>
          <w:lang w:val="hr-HR"/>
        </w:rPr>
        <w:t>Arhiva, ovdje</w:t>
      </w:r>
    </w:p>
    <w:p>
      <w:pPr>
        <w:pStyle w:val="Normal"/>
        <w:keepNext w:val="true"/>
        <w:ind w:hanging="0"/>
        <w:jc w:val="center"/>
        <w:rPr/>
      </w:pPr>
      <w:r>
        <w:rPr>
          <w:rFonts w:cs="Times New Roman" w:ascii="Times New Roman" w:hAnsi="Times New Roman"/>
          <w:sz w:val="24"/>
          <w:szCs w:val="24"/>
          <w:lang w:val="hr-HR"/>
        </w:rPr>
        <w:t xml:space="preserve">                 </w:t>
      </w:r>
    </w:p>
    <w:p>
      <w:pPr>
        <w:pStyle w:val="Normal"/>
        <w:ind w:hanging="0"/>
        <w:jc w:val="center"/>
        <w:rPr/>
      </w:pPr>
      <w:r>
        <w:rPr>
          <w:rFonts w:cs="Times New Roman" w:ascii="Times New Roman" w:hAnsi="Times New Roman"/>
          <w:b/>
          <w:bCs/>
          <w:sz w:val="24"/>
          <w:szCs w:val="24"/>
          <w:lang w:val="hr-HR"/>
        </w:rPr>
        <w:t>OPĆINSKI NAČELNIK</w:t>
      </w:r>
    </w:p>
    <w:p>
      <w:pPr>
        <w:pStyle w:val="Normal"/>
        <w:ind w:hanging="0"/>
        <w:jc w:val="center"/>
        <w:rPr/>
      </w:pPr>
      <w:r>
        <w:rPr>
          <w:rFonts w:cs="Times New Roman" w:ascii="Times New Roman" w:hAnsi="Times New Roman"/>
          <w:sz w:val="24"/>
          <w:szCs w:val="24"/>
          <w:lang w:val="hr-HR"/>
        </w:rPr>
        <w:t xml:space="preserve">Dušan Jeckov </w:t>
      </w:r>
    </w:p>
    <w:p>
      <w:pPr>
        <w:pStyle w:val="Normal"/>
        <w:keepNext w:val="true"/>
        <w:ind w:left="142" w:hanging="0"/>
        <w:jc w:val="center"/>
        <w:rPr>
          <w:rFonts w:ascii="Times New Roman" w:hAnsi="Times New Roman" w:cs="Times New Roman"/>
          <w:sz w:val="24"/>
          <w:szCs w:val="24"/>
          <w:lang w:val="hr-HR"/>
        </w:rPr>
      </w:pPr>
      <w:r>
        <w:rPr>
          <w:rFonts w:cs="Times New Roman" w:ascii="Times New Roman" w:hAnsi="Times New Roman"/>
          <w:sz w:val="24"/>
          <w:szCs w:val="24"/>
          <w:lang w:val="hr-HR"/>
        </w:rPr>
        <w:drawing>
          <wp:inline distT="0" distB="0" distL="0" distR="0">
            <wp:extent cx="5761355" cy="36830"/>
            <wp:effectExtent l="0" t="0" r="0" b="0"/>
            <wp:docPr id="13" name="Slika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13" descr=""/>
                    <pic:cNvPicPr>
                      <a:picLocks noChangeAspect="1" noChangeArrowheads="1"/>
                    </pic:cNvPicPr>
                  </pic:nvPicPr>
                  <pic:blipFill>
                    <a:blip r:embed="rId38"/>
                    <a:stretch>
                      <a:fillRect/>
                    </a:stretch>
                  </pic:blipFill>
                  <pic:spPr bwMode="auto">
                    <a:xfrm>
                      <a:off x="0" y="0"/>
                      <a:ext cx="5761355" cy="36830"/>
                    </a:xfrm>
                    <a:prstGeom prst="rect">
                      <a:avLst/>
                    </a:prstGeom>
                  </pic:spPr>
                </pic:pic>
              </a:graphicData>
            </a:graphic>
          </wp:inline>
        </w:drawing>
      </w:r>
    </w:p>
    <w:p>
      <w:pPr>
        <w:pStyle w:val="Normal"/>
        <w:keepNext w:val="true"/>
        <w:ind w:left="142" w:hanging="0"/>
        <w:rPr>
          <w:rFonts w:ascii="Times New Roman" w:hAnsi="Times New Roman" w:cs="Times New Roman"/>
          <w:sz w:val="24"/>
          <w:szCs w:val="24"/>
          <w:lang w:val="hr-HR"/>
        </w:rPr>
      </w:pPr>
      <w:r>
        <w:rPr>
          <w:rFonts w:cs="Times New Roman" w:ascii="Times New Roman" w:hAnsi="Times New Roman"/>
          <w:sz w:val="24"/>
          <w:szCs w:val="24"/>
          <w:lang w:val="hr-HR"/>
        </w:rPr>
      </w:r>
    </w:p>
    <w:p>
      <w:pPr>
        <w:pStyle w:val="Normal"/>
        <w:keepNext w:val="true"/>
        <w:ind w:left="142" w:hanging="0"/>
        <w:rPr>
          <w:rFonts w:ascii="Times New Roman" w:hAnsi="Times New Roman" w:cs="Times New Roman"/>
          <w:sz w:val="24"/>
          <w:szCs w:val="24"/>
          <w:lang w:val="hr-HR"/>
        </w:rPr>
      </w:pPr>
      <w:r>
        <w:rPr>
          <w:rFonts w:cs="Times New Roman" w:ascii="Times New Roman" w:hAnsi="Times New Roman"/>
          <w:sz w:val="24"/>
          <w:szCs w:val="24"/>
          <w:lang w:val="hr-HR"/>
        </w:rPr>
      </w:r>
    </w:p>
    <w:sectPr>
      <w:headerReference w:type="even" r:id="rId39"/>
      <w:headerReference w:type="default" r:id="rId40"/>
      <w:type w:val="evenPage"/>
      <w:pgSz w:w="11906" w:h="16838"/>
      <w:pgMar w:left="1134" w:right="1134" w:gutter="0" w:header="1134" w:top="1968"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Light">
    <w:charset w:val="ee"/>
    <w:family w:val="roman"/>
    <w:pitch w:val="variable"/>
  </w:font>
  <w:font w:name="Cambria">
    <w:charset w:val="ee"/>
    <w:family w:val="roman"/>
    <w:pitch w:val="variable"/>
  </w:font>
  <w:font w:name="Calibri">
    <w:charset w:val="ee"/>
    <w:family w:val="roman"/>
    <w:pitch w:val="variable"/>
  </w:font>
  <w:font w:name="Times New Roman">
    <w:charset w:val="ee"/>
    <w:family w:val="roman"/>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Liberation Sans">
    <w:altName w:val="Arial"/>
    <w:charset w:val="ee"/>
    <w:family w:val="roman"/>
    <w:pitch w:val="variable"/>
  </w:font>
  <w:font w:name="Consolas">
    <w:charset w:val="ee"/>
    <w:family w:val="roman"/>
    <w:pitch w:val="variable"/>
  </w:font>
  <w:font w:name="Arial">
    <w:charset w:val="ee"/>
    <w:family w:val="roman"/>
    <w:pitch w:val="variable"/>
  </w:font>
  <w:font w:name="arial">
    <w:charset w:val="ee"/>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153" w:leader="none"/>
        <w:tab w:val="right" w:pos="8306" w:leader="none"/>
      </w:tabs>
      <w:bidi w:val="0"/>
      <w:spacing w:lineRule="auto" w:line="480"/>
      <w:jc w:val="center"/>
      <w:rPr>
        <w:rFonts w:eastAsia="Times New Roman" w:cs="Times New Roman"/>
        <w:u w:val="single"/>
        <w:lang w:val="en-AU" w:eastAsia="hr-HR"/>
      </w:rPr>
    </w:pPr>
    <w:r>
      <w:rPr>
        <w:rFonts w:eastAsia="Times New Roman" w:cs="Times New Roman"/>
        <w:u w:val="single"/>
        <w:lang w:val="en-AU" w:eastAsia="hr-HR"/>
      </w:rPr>
      <w:t>Broj</w:t>
    </w:r>
    <w:r>
      <w:rPr>
        <w:rFonts w:eastAsia="Times New Roman" w:cs="Times New Roman"/>
        <w:u w:val="single"/>
        <w:lang w:eastAsia="hr-HR"/>
      </w:rPr>
      <w:t xml:space="preserve"> 7                                          </w:t>
    </w:r>
    <w:r>
      <w:rPr>
        <w:rFonts w:eastAsia="Times New Roman" w:cs="Times New Roman"/>
        <w:u w:val="single"/>
        <w:lang w:val="en-AU" w:eastAsia="hr-HR"/>
      </w:rPr>
      <w:t xml:space="preserve">“SLUŽBENI GLASNIK”                    </w:t>
    </w:r>
    <w:r>
      <w:rPr>
        <w:rFonts w:eastAsia="Times New Roman" w:cs="Times New Roman"/>
        <w:u w:val="single"/>
        <w:lang w:eastAsia="hr-HR"/>
      </w:rPr>
      <w:t>Stranica</w:t>
    </w:r>
    <w:r>
      <w:rPr>
        <w:rFonts w:eastAsia="Times New Roman" w:cs="Times New Roman"/>
        <w:u w:val="single"/>
        <w:lang w:val="en-AU" w:eastAsia="hr-HR"/>
      </w:rPr>
      <w:t xml:space="preserve"> </w:t>
    </w:r>
    <w:r>
      <w:rPr>
        <w:rFonts w:eastAsia="Times New Roman" w:cs="Times New Roman"/>
        <w:u w:val="single"/>
        <w:lang w:val="en-AU" w:eastAsia="hr-HR"/>
      </w:rPr>
      <w:fldChar w:fldCharType="begin"/>
    </w:r>
    <w:r>
      <w:rPr>
        <w:u w:val="single"/>
        <w:rFonts w:eastAsia="Times New Roman" w:cs="Times New Roman"/>
        <w:lang w:val="en-AU" w:eastAsia="hr-HR"/>
      </w:rPr>
      <w:instrText xml:space="preserve"> PAGE </w:instrText>
    </w:r>
    <w:r>
      <w:rPr>
        <w:u w:val="single"/>
        <w:rFonts w:eastAsia="Times New Roman" w:cs="Times New Roman"/>
        <w:lang w:val="en-AU" w:eastAsia="hr-HR"/>
      </w:rPr>
      <w:fldChar w:fldCharType="separate"/>
    </w:r>
    <w:r>
      <w:rPr>
        <w:u w:val="single"/>
        <w:rFonts w:eastAsia="Times New Roman" w:cs="Times New Roman"/>
        <w:lang w:val="en-AU" w:eastAsia="hr-HR"/>
      </w:rPr>
      <w:t>4</w:t>
    </w:r>
    <w:r>
      <w:rPr>
        <w:u w:val="single"/>
        <w:rFonts w:eastAsia="Times New Roman" w:cs="Times New Roman"/>
        <w:lang w:val="en-AU" w:eastAsia="hr-H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153" w:leader="none"/>
        <w:tab w:val="right" w:pos="8306" w:leader="none"/>
      </w:tabs>
      <w:bidi w:val="0"/>
      <w:spacing w:lineRule="auto" w:line="480"/>
      <w:jc w:val="center"/>
      <w:rPr>
        <w:rFonts w:eastAsia="Times New Roman" w:cs="Times New Roman"/>
        <w:u w:val="single"/>
        <w:lang w:val="en-AU" w:eastAsia="hr-HR"/>
      </w:rPr>
    </w:pPr>
    <w:r>
      <w:rPr>
        <w:rFonts w:eastAsia="Times New Roman" w:cs="Times New Roman"/>
        <w:u w:val="single"/>
        <w:lang w:val="en-AU" w:eastAsia="hr-HR"/>
      </w:rPr>
      <w:t>Broj</w:t>
    </w:r>
    <w:r>
      <w:rPr>
        <w:rFonts w:eastAsia="Times New Roman" w:cs="Times New Roman"/>
        <w:u w:val="single"/>
        <w:lang w:eastAsia="hr-HR"/>
      </w:rPr>
      <w:t xml:space="preserve"> 7                                          </w:t>
    </w:r>
    <w:r>
      <w:rPr>
        <w:rFonts w:eastAsia="Times New Roman" w:cs="Times New Roman"/>
        <w:u w:val="single"/>
        <w:lang w:val="en-AU" w:eastAsia="hr-HR"/>
      </w:rPr>
      <w:t xml:space="preserve">“SLUŽBENI GLASNIK”                    </w:t>
    </w:r>
    <w:r>
      <w:rPr>
        <w:rFonts w:eastAsia="Times New Roman" w:cs="Times New Roman"/>
        <w:u w:val="single"/>
        <w:lang w:eastAsia="hr-HR"/>
      </w:rPr>
      <w:t>Stranica</w:t>
    </w:r>
    <w:r>
      <w:rPr>
        <w:rFonts w:eastAsia="Times New Roman" w:cs="Times New Roman"/>
        <w:u w:val="single"/>
        <w:lang w:val="en-AU" w:eastAsia="hr-HR"/>
      </w:rPr>
      <w:t xml:space="preserve">  </w:t>
    </w:r>
    <w:r>
      <w:rPr>
        <w:rFonts w:eastAsia="Times New Roman" w:cs="Times New Roman"/>
        <w:u w:val="single"/>
        <w:lang w:val="en-AU" w:eastAsia="hr-HR"/>
      </w:rPr>
      <w:fldChar w:fldCharType="begin"/>
    </w:r>
    <w:r>
      <w:rPr>
        <w:u w:val="single"/>
        <w:rFonts w:eastAsia="Times New Roman" w:cs="Times New Roman"/>
        <w:lang w:val="en-AU" w:eastAsia="hr-HR"/>
      </w:rPr>
      <w:instrText xml:space="preserve"> PAGE </w:instrText>
    </w:r>
    <w:r>
      <w:rPr>
        <w:u w:val="single"/>
        <w:rFonts w:eastAsia="Times New Roman" w:cs="Times New Roman"/>
        <w:lang w:val="en-AU" w:eastAsia="hr-HR"/>
      </w:rPr>
      <w:fldChar w:fldCharType="separate"/>
    </w:r>
    <w:r>
      <w:rPr>
        <w:u w:val="single"/>
        <w:rFonts w:eastAsia="Times New Roman" w:cs="Times New Roman"/>
        <w:lang w:val="en-AU" w:eastAsia="hr-HR"/>
      </w:rPr>
      <w:t>3</w:t>
    </w:r>
    <w:r>
      <w:rPr>
        <w:u w:val="single"/>
        <w:rFonts w:eastAsia="Times New Roman" w:cs="Times New Roman"/>
        <w:lang w:val="en-AU" w:eastAsia="hr-H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153" w:leader="none"/>
        <w:tab w:val="right" w:pos="8306" w:leader="none"/>
      </w:tabs>
      <w:bidi w:val="0"/>
      <w:spacing w:lineRule="auto" w:line="480"/>
      <w:jc w:val="center"/>
      <w:rPr>
        <w:rFonts w:eastAsia="Times New Roman" w:cs="Times New Roman"/>
        <w:u w:val="single"/>
        <w:lang w:val="en-AU" w:eastAsia="hr-HR"/>
      </w:rPr>
    </w:pPr>
    <w:r>
      <w:rPr>
        <w:rFonts w:eastAsia="Times New Roman" w:cs="Times New Roman"/>
        <w:u w:val="single"/>
        <w:lang w:val="en-AU" w:eastAsia="hr-HR"/>
      </w:rPr>
      <w:t>Broj</w:t>
    </w:r>
    <w:r>
      <w:rPr>
        <w:rFonts w:eastAsia="Times New Roman" w:cs="Times New Roman"/>
        <w:u w:val="single"/>
        <w:lang w:eastAsia="hr-HR"/>
      </w:rPr>
      <w:t xml:space="preserve"> 7                                          </w:t>
    </w:r>
    <w:r>
      <w:rPr>
        <w:rFonts w:eastAsia="Times New Roman" w:cs="Times New Roman"/>
        <w:u w:val="single"/>
        <w:lang w:val="en-AU" w:eastAsia="hr-HR"/>
      </w:rPr>
      <w:t xml:space="preserve">“SLUŽBENI GLASNIK”                    </w:t>
    </w:r>
    <w:r>
      <w:rPr>
        <w:rFonts w:eastAsia="Times New Roman" w:cs="Times New Roman"/>
        <w:u w:val="single"/>
        <w:lang w:eastAsia="hr-HR"/>
      </w:rPr>
      <w:t>Stranica</w:t>
    </w:r>
    <w:r>
      <w:rPr>
        <w:rFonts w:eastAsia="Times New Roman" w:cs="Times New Roman"/>
        <w:u w:val="single"/>
        <w:lang w:val="en-AU" w:eastAsia="hr-HR"/>
      </w:rPr>
      <w:t xml:space="preserve"> </w:t>
    </w:r>
    <w:r>
      <w:rPr>
        <w:rFonts w:eastAsia="Times New Roman" w:cs="Times New Roman"/>
        <w:u w:val="single"/>
        <w:lang w:val="en-AU" w:eastAsia="hr-HR"/>
      </w:rPr>
      <w:fldChar w:fldCharType="begin"/>
    </w:r>
    <w:r>
      <w:rPr>
        <w:u w:val="single"/>
        <w:rFonts w:eastAsia="Times New Roman" w:cs="Times New Roman"/>
        <w:lang w:val="en-AU" w:eastAsia="hr-HR"/>
      </w:rPr>
      <w:instrText xml:space="preserve"> PAGE </w:instrText>
    </w:r>
    <w:r>
      <w:rPr>
        <w:u w:val="single"/>
        <w:rFonts w:eastAsia="Times New Roman" w:cs="Times New Roman"/>
        <w:lang w:val="en-AU" w:eastAsia="hr-HR"/>
      </w:rPr>
      <w:fldChar w:fldCharType="separate"/>
    </w:r>
    <w:r>
      <w:rPr>
        <w:u w:val="single"/>
        <w:rFonts w:eastAsia="Times New Roman" w:cs="Times New Roman"/>
        <w:lang w:val="en-AU" w:eastAsia="hr-HR"/>
      </w:rPr>
      <w:t>18</w:t>
    </w:r>
    <w:r>
      <w:rPr>
        <w:u w:val="single"/>
        <w:rFonts w:eastAsia="Times New Roman" w:cs="Times New Roman"/>
        <w:lang w:val="en-AU" w:eastAsia="hr-H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153" w:leader="none"/>
        <w:tab w:val="right" w:pos="8306" w:leader="none"/>
      </w:tabs>
      <w:bidi w:val="0"/>
      <w:spacing w:lineRule="auto" w:line="480"/>
      <w:jc w:val="center"/>
      <w:rPr>
        <w:rFonts w:eastAsia="Times New Roman" w:cs="Times New Roman"/>
        <w:u w:val="single"/>
        <w:lang w:val="en-AU" w:eastAsia="hr-HR"/>
      </w:rPr>
    </w:pPr>
    <w:r>
      <w:rPr>
        <w:rFonts w:eastAsia="Times New Roman" w:cs="Times New Roman"/>
        <w:u w:val="single"/>
        <w:lang w:val="en-AU" w:eastAsia="hr-HR"/>
      </w:rPr>
      <w:t>Broj</w:t>
    </w:r>
    <w:r>
      <w:rPr>
        <w:rFonts w:eastAsia="Times New Roman" w:cs="Times New Roman"/>
        <w:u w:val="single"/>
        <w:lang w:eastAsia="hr-HR"/>
      </w:rPr>
      <w:t xml:space="preserve"> 7                                          </w:t>
    </w:r>
    <w:r>
      <w:rPr>
        <w:rFonts w:eastAsia="Times New Roman" w:cs="Times New Roman"/>
        <w:u w:val="single"/>
        <w:lang w:val="en-AU" w:eastAsia="hr-HR"/>
      </w:rPr>
      <w:t xml:space="preserve">“SLUŽBENI GLASNIK”                    </w:t>
    </w:r>
    <w:r>
      <w:rPr>
        <w:rFonts w:eastAsia="Times New Roman" w:cs="Times New Roman"/>
        <w:u w:val="single"/>
        <w:lang w:eastAsia="hr-HR"/>
      </w:rPr>
      <w:t>Stranica</w:t>
    </w:r>
    <w:r>
      <w:rPr>
        <w:rFonts w:eastAsia="Times New Roman" w:cs="Times New Roman"/>
        <w:u w:val="single"/>
        <w:lang w:val="en-AU" w:eastAsia="hr-HR"/>
      </w:rPr>
      <w:t xml:space="preserve"> </w:t>
    </w:r>
    <w:r>
      <w:rPr>
        <w:rFonts w:eastAsia="Times New Roman" w:cs="Times New Roman"/>
        <w:u w:val="single"/>
        <w:lang w:val="en-AU" w:eastAsia="hr-HR"/>
      </w:rPr>
      <w:fldChar w:fldCharType="begin"/>
    </w:r>
    <w:r>
      <w:rPr>
        <w:u w:val="single"/>
        <w:rFonts w:eastAsia="Times New Roman" w:cs="Times New Roman"/>
        <w:lang w:val="en-AU" w:eastAsia="hr-HR"/>
      </w:rPr>
      <w:instrText xml:space="preserve"> PAGE </w:instrText>
    </w:r>
    <w:r>
      <w:rPr>
        <w:u w:val="single"/>
        <w:rFonts w:eastAsia="Times New Roman" w:cs="Times New Roman"/>
        <w:lang w:val="en-AU" w:eastAsia="hr-HR"/>
      </w:rPr>
      <w:fldChar w:fldCharType="separate"/>
    </w:r>
    <w:r>
      <w:rPr>
        <w:u w:val="single"/>
        <w:rFonts w:eastAsia="Times New Roman" w:cs="Times New Roman"/>
        <w:lang w:val="en-AU" w:eastAsia="hr-HR"/>
      </w:rPr>
      <w:t>17</w:t>
    </w:r>
    <w:r>
      <w:rPr>
        <w:u w:val="single"/>
        <w:rFonts w:eastAsia="Times New Roman" w:cs="Times New Roman"/>
        <w:lang w:val="en-AU" w:eastAsia="hr-H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153" w:leader="none"/>
        <w:tab w:val="right" w:pos="8306" w:leader="none"/>
      </w:tabs>
      <w:bidi w:val="0"/>
      <w:spacing w:lineRule="auto" w:line="480"/>
      <w:jc w:val="center"/>
      <w:rPr>
        <w:rFonts w:eastAsia="Times New Roman" w:cs="Times New Roman"/>
        <w:u w:val="single"/>
        <w:lang w:val="en-AU" w:eastAsia="hr-HR"/>
      </w:rPr>
    </w:pPr>
    <w:r>
      <w:rPr>
        <w:rFonts w:eastAsia="Times New Roman" w:cs="Times New Roman"/>
        <w:u w:val="single"/>
        <w:lang w:val="en-AU" w:eastAsia="hr-HR"/>
      </w:rPr>
      <w:t>Broj</w:t>
    </w:r>
    <w:r>
      <w:rPr>
        <w:rFonts w:eastAsia="Times New Roman" w:cs="Times New Roman"/>
        <w:u w:val="single"/>
        <w:lang w:eastAsia="hr-HR"/>
      </w:rPr>
      <w:t xml:space="preserve"> 7                                          </w:t>
    </w:r>
    <w:r>
      <w:rPr>
        <w:rFonts w:eastAsia="Times New Roman" w:cs="Times New Roman"/>
        <w:u w:val="single"/>
        <w:lang w:val="en-AU" w:eastAsia="hr-HR"/>
      </w:rPr>
      <w:t xml:space="preserve">“SLUŽBENI GLASNIK”                    </w:t>
    </w:r>
    <w:r>
      <w:rPr>
        <w:rFonts w:eastAsia="Times New Roman" w:cs="Times New Roman"/>
        <w:u w:val="single"/>
        <w:lang w:eastAsia="hr-HR"/>
      </w:rPr>
      <w:t>Stranica</w:t>
    </w:r>
    <w:r>
      <w:rPr>
        <w:rFonts w:eastAsia="Times New Roman" w:cs="Times New Roman"/>
        <w:u w:val="single"/>
        <w:lang w:val="en-AU" w:eastAsia="hr-HR"/>
      </w:rPr>
      <w:t xml:space="preserve"> </w:t>
    </w:r>
    <w:r>
      <w:rPr>
        <w:rFonts w:eastAsia="Times New Roman" w:cs="Times New Roman"/>
        <w:u w:val="single"/>
        <w:lang w:val="en-AU" w:eastAsia="hr-HR"/>
      </w:rPr>
      <w:fldChar w:fldCharType="begin"/>
    </w:r>
    <w:r>
      <w:rPr>
        <w:u w:val="single"/>
        <w:rFonts w:eastAsia="Times New Roman" w:cs="Times New Roman"/>
        <w:lang w:val="en-AU" w:eastAsia="hr-HR"/>
      </w:rPr>
      <w:instrText xml:space="preserve"> PAGE </w:instrText>
    </w:r>
    <w:r>
      <w:rPr>
        <w:u w:val="single"/>
        <w:rFonts w:eastAsia="Times New Roman" w:cs="Times New Roman"/>
        <w:lang w:val="en-AU" w:eastAsia="hr-HR"/>
      </w:rPr>
      <w:fldChar w:fldCharType="separate"/>
    </w:r>
    <w:r>
      <w:rPr>
        <w:u w:val="single"/>
        <w:rFonts w:eastAsia="Times New Roman" w:cs="Times New Roman"/>
        <w:lang w:val="en-AU" w:eastAsia="hr-HR"/>
      </w:rPr>
      <w:t>44</w:t>
    </w:r>
    <w:r>
      <w:rPr>
        <w:u w:val="single"/>
        <w:rFonts w:eastAsia="Times New Roman" w:cs="Times New Roman"/>
        <w:lang w:val="en-AU" w:eastAsia="hr-H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153" w:leader="none"/>
        <w:tab w:val="right" w:pos="8306" w:leader="none"/>
      </w:tabs>
      <w:bidi w:val="0"/>
      <w:spacing w:lineRule="auto" w:line="480"/>
      <w:jc w:val="center"/>
      <w:rPr>
        <w:rFonts w:eastAsia="Times New Roman" w:cs="Times New Roman"/>
        <w:u w:val="single"/>
        <w:lang w:val="en-AU" w:eastAsia="hr-HR"/>
      </w:rPr>
    </w:pPr>
    <w:r>
      <w:rPr>
        <w:rFonts w:eastAsia="Times New Roman" w:cs="Times New Roman"/>
        <w:u w:val="single"/>
        <w:lang w:val="en-AU" w:eastAsia="hr-HR"/>
      </w:rPr>
      <w:t>Broj</w:t>
    </w:r>
    <w:r>
      <w:rPr>
        <w:rFonts w:eastAsia="Times New Roman" w:cs="Times New Roman"/>
        <w:u w:val="single"/>
        <w:lang w:eastAsia="hr-HR"/>
      </w:rPr>
      <w:t xml:space="preserve"> 7                                          </w:t>
    </w:r>
    <w:r>
      <w:rPr>
        <w:rFonts w:eastAsia="Times New Roman" w:cs="Times New Roman"/>
        <w:u w:val="single"/>
        <w:lang w:val="en-AU" w:eastAsia="hr-HR"/>
      </w:rPr>
      <w:t xml:space="preserve">“SLUŽBENI GLASNIK”                    </w:t>
    </w:r>
    <w:r>
      <w:rPr>
        <w:rFonts w:eastAsia="Times New Roman" w:cs="Times New Roman"/>
        <w:u w:val="single"/>
        <w:lang w:eastAsia="hr-HR"/>
      </w:rPr>
      <w:t>Stranica</w:t>
    </w:r>
    <w:r>
      <w:rPr>
        <w:rFonts w:eastAsia="Times New Roman" w:cs="Times New Roman"/>
        <w:u w:val="single"/>
        <w:lang w:val="en-AU" w:eastAsia="hr-HR"/>
      </w:rPr>
      <w:t xml:space="preserve"> </w:t>
    </w:r>
    <w:r>
      <w:rPr>
        <w:rFonts w:eastAsia="Times New Roman" w:cs="Times New Roman"/>
        <w:u w:val="single"/>
        <w:lang w:val="en-AU" w:eastAsia="hr-HR"/>
      </w:rPr>
      <w:fldChar w:fldCharType="begin"/>
    </w:r>
    <w:r>
      <w:rPr>
        <w:u w:val="single"/>
        <w:rFonts w:eastAsia="Times New Roman" w:cs="Times New Roman"/>
        <w:lang w:val="en-AU" w:eastAsia="hr-HR"/>
      </w:rPr>
      <w:instrText xml:space="preserve"> PAGE </w:instrText>
    </w:r>
    <w:r>
      <w:rPr>
        <w:u w:val="single"/>
        <w:rFonts w:eastAsia="Times New Roman" w:cs="Times New Roman"/>
        <w:lang w:val="en-AU" w:eastAsia="hr-HR"/>
      </w:rPr>
      <w:fldChar w:fldCharType="separate"/>
    </w:r>
    <w:r>
      <w:rPr>
        <w:u w:val="single"/>
        <w:rFonts w:eastAsia="Times New Roman" w:cs="Times New Roman"/>
        <w:lang w:val="en-AU" w:eastAsia="hr-HR"/>
      </w:rPr>
      <w:t>44</w:t>
    </w:r>
    <w:r>
      <w:rPr>
        <w:u w:val="single"/>
        <w:rFonts w:eastAsia="Times New Roman" w:cs="Times New Roman"/>
        <w:lang w:val="en-AU" w:eastAsia="hr-H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1."/>
      <w:lvlJc w:val="left"/>
      <w:pPr>
        <w:tabs>
          <w:tab w:val="num" w:pos="720"/>
        </w:tabs>
        <w:ind w:left="720" w:hanging="360"/>
      </w:pPr>
    </w:lvl>
    <w:lvl w:ilvl="1">
      <w:start w:val="1"/>
      <w:numFmt w:val="none"/>
      <w:suff w:val="nothing"/>
      <w:lvlText w:val="%2."/>
      <w:lvlJc w:val="left"/>
      <w:pPr>
        <w:tabs>
          <w:tab w:val="num" w:pos="1080"/>
        </w:tabs>
        <w:ind w:left="1080" w:hanging="360"/>
      </w:pPr>
    </w:lvl>
    <w:lvl w:ilvl="2">
      <w:start w:val="1"/>
      <w:numFmt w:val="none"/>
      <w:suff w:val="nothing"/>
      <w:lvlText w:val="%3."/>
      <w:lvlJc w:val="left"/>
      <w:pPr>
        <w:tabs>
          <w:tab w:val="num" w:pos="1440"/>
        </w:tabs>
        <w:ind w:left="1440" w:hanging="360"/>
      </w:pPr>
    </w:lvl>
    <w:lvl w:ilvl="3">
      <w:start w:val="1"/>
      <w:numFmt w:val="none"/>
      <w:suff w:val="nothing"/>
      <w:lvlText w:val="%4."/>
      <w:lvlJc w:val="left"/>
      <w:pPr>
        <w:tabs>
          <w:tab w:val="num" w:pos="1800"/>
        </w:tabs>
        <w:ind w:left="1800" w:hanging="36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5">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6">
    <w:lvl w:ilvl="0">
      <w:start w:val="3"/>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80"/>
  <w:defaultTabStop w:val="709"/>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hr-HR"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hr-HR" w:eastAsia="zh-CN" w:bidi="hi-IN"/>
    </w:rPr>
  </w:style>
  <w:style w:type="paragraph" w:styleId="Stilnaslova1">
    <w:name w:val="Heading 1"/>
    <w:basedOn w:val="Normal"/>
    <w:next w:val="Normal"/>
    <w:qFormat/>
    <w:pPr>
      <w:keepNext w:val="true"/>
      <w:suppressAutoHyphens w:val="false"/>
      <w:spacing w:lineRule="auto" w:line="240" w:before="240" w:after="60"/>
      <w:outlineLvl w:val="0"/>
    </w:pPr>
    <w:rPr>
      <w:rFonts w:ascii="Calibri Light" w:hAnsi="Calibri Light" w:eastAsia="Times New Roman" w:cs="Times New Roman"/>
      <w:b/>
      <w:bCs/>
      <w:kern w:val="2"/>
      <w:sz w:val="32"/>
      <w:szCs w:val="32"/>
      <w:lang w:eastAsia="hr-HR"/>
      <w14:ligatures w14:val="none"/>
    </w:rPr>
  </w:style>
  <w:style w:type="paragraph" w:styleId="Stilnaslova2">
    <w:name w:val="Heading 2"/>
    <w:basedOn w:val="Normal"/>
    <w:next w:val="Normal"/>
    <w:qFormat/>
    <w:pPr>
      <w:keepNext w:val="true"/>
      <w:keepLines/>
      <w:spacing w:before="40" w:after="0"/>
      <w:outlineLvl w:val="1"/>
    </w:pPr>
    <w:rPr>
      <w:rFonts w:ascii="Cambria" w:hAnsi="Cambria" w:eastAsia="" w:cs="" w:asciiTheme="majorHAnsi" w:cstheme="majorBidi" w:eastAsiaTheme="majorEastAsia" w:hAnsiTheme="majorHAnsi"/>
      <w:color w:val="365F91" w:themeColor="accent1" w:themeShade="bf"/>
      <w:sz w:val="26"/>
      <w:szCs w:val="26"/>
    </w:rPr>
  </w:style>
  <w:style w:type="paragraph" w:styleId="Stilnaslova3">
    <w:name w:val="Heading 3"/>
    <w:basedOn w:val="Normal"/>
    <w:next w:val="Normal"/>
    <w:qFormat/>
    <w:pPr>
      <w:keepNext w:val="true"/>
      <w:suppressAutoHyphens w:val="false"/>
      <w:spacing w:lineRule="auto" w:line="240" w:before="240" w:after="60"/>
      <w:outlineLvl w:val="2"/>
    </w:pPr>
    <w:rPr>
      <w:rFonts w:ascii="Calibri Light" w:hAnsi="Calibri Light" w:eastAsia="Times New Roman" w:cs="Times New Roman"/>
      <w:b/>
      <w:bCs/>
      <w:kern w:val="0"/>
      <w:sz w:val="26"/>
      <w:szCs w:val="26"/>
      <w:lang w:eastAsia="hr-HR"/>
      <w14:ligatures w14:val="none"/>
    </w:rPr>
  </w:style>
  <w:style w:type="paragraph" w:styleId="Stilnaslova4">
    <w:name w:val="Heading 4"/>
    <w:basedOn w:val="Normal"/>
    <w:next w:val="Normal"/>
    <w:qFormat/>
    <w:pPr>
      <w:keepNext w:val="true"/>
      <w:suppressAutoHyphens w:val="false"/>
      <w:spacing w:lineRule="auto" w:line="240" w:before="240" w:after="60"/>
      <w:outlineLvl w:val="3"/>
    </w:pPr>
    <w:rPr>
      <w:rFonts w:ascii="Calibri" w:hAnsi="Calibri" w:eastAsia="Times New Roman" w:cs="Times New Roman"/>
      <w:b/>
      <w:bCs/>
      <w:kern w:val="0"/>
      <w:sz w:val="28"/>
      <w:szCs w:val="28"/>
      <w:lang w:eastAsia="hr-HR"/>
      <w14:ligatures w14:val="none"/>
    </w:rPr>
  </w:style>
  <w:style w:type="character" w:styleId="Internetskapoveznica">
    <w:name w:val="Hyperlink"/>
    <w:rPr>
      <w:color w:val="000080"/>
      <w:u w:val="single"/>
      <w:lang w:val="zxx" w:eastAsia="zxx" w:bidi="zxx"/>
    </w:rPr>
  </w:style>
  <w:style w:type="character" w:styleId="DefaultParagraphFont">
    <w:name w:val="Default Paragraph Font"/>
    <w:qFormat/>
    <w:rPr/>
  </w:style>
  <w:style w:type="character" w:styleId="Posjeenainternetskapoveznica">
    <w:name w:val="FollowedHyperlink"/>
    <w:basedOn w:val="DefaultParagraphFont"/>
    <w:rPr>
      <w:color w:val="800080"/>
      <w:u w:val="single"/>
    </w:rPr>
  </w:style>
  <w:style w:type="character" w:styleId="Simbolinumeriranja">
    <w:name w:val="Simboli numeriranja"/>
    <w:qFormat/>
    <w:rPr/>
  </w:style>
  <w:style w:type="character" w:styleId="WW8Num2z0">
    <w:name w:val="WW8Num2z0"/>
    <w:qFormat/>
    <w:rPr>
      <w:rFonts w:ascii="Times New Roman" w:hAnsi="Times New Roman" w:eastAsia="Times New Roman" w:cs="Times New Roman"/>
      <w:sz w:val="24"/>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Strong">
    <w:name w:val="Strong"/>
    <w:qFormat/>
    <w:rPr>
      <w:b/>
      <w:bCs/>
    </w:rPr>
  </w:style>
  <w:style w:type="paragraph" w:styleId="Stilnaslova">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lang w:val="zxx" w:eastAsia="zxx" w:bidi="zxx"/>
    </w:rPr>
  </w:style>
  <w:style w:type="paragraph" w:styleId="ListParagraph">
    <w:name w:val="List Paragraph"/>
    <w:basedOn w:val="Normal"/>
    <w:qFormat/>
    <w:pPr>
      <w:spacing w:before="0" w:after="0"/>
      <w:ind w:left="720" w:hanging="0"/>
      <w:contextualSpacing/>
    </w:pPr>
    <w:rPr/>
  </w:style>
  <w:style w:type="paragraph" w:styleId="Zaglavljeipodnoje">
    <w:name w:val="Zaglavlje i podnožje"/>
    <w:basedOn w:val="Normal"/>
    <w:qFormat/>
    <w:pPr>
      <w:suppressLineNumbers/>
      <w:tabs>
        <w:tab w:val="clear" w:pos="709"/>
        <w:tab w:val="center" w:pos="4819" w:leader="none"/>
        <w:tab w:val="right" w:pos="9638" w:leader="none"/>
      </w:tabs>
    </w:pPr>
    <w:rPr/>
  </w:style>
  <w:style w:type="paragraph" w:styleId="Zaglavlje">
    <w:name w:val="Header"/>
    <w:basedOn w:val="Zaglavljeipodnoje"/>
    <w:pPr>
      <w:suppressLineNumbers/>
    </w:pPr>
    <w:rPr/>
  </w:style>
  <w:style w:type="paragraph" w:styleId="Sadrajitablice">
    <w:name w:val="Sadržaji tablice"/>
    <w:basedOn w:val="Normal"/>
    <w:qFormat/>
    <w:pPr>
      <w:widowControl w:val="false"/>
      <w:suppressLineNumbers/>
    </w:pPr>
    <w:rPr/>
  </w:style>
  <w:style w:type="paragraph" w:styleId="Naslovtablice">
    <w:name w:val="Naslov tablice"/>
    <w:basedOn w:val="Sadrajitablice"/>
    <w:qFormat/>
    <w:pPr>
      <w:suppressLineNumbers/>
      <w:jc w:val="center"/>
    </w:pPr>
    <w:rPr>
      <w:b/>
      <w:bCs/>
    </w:rPr>
  </w:style>
  <w:style w:type="paragraph" w:styleId="Standard">
    <w:name w:val="Standard"/>
    <w:qFormat/>
    <w:pPr>
      <w:widowControl/>
      <w:suppressAutoHyphens w:val="true"/>
      <w:bidi w:val="0"/>
      <w:spacing w:before="0" w:after="0"/>
      <w:jc w:val="left"/>
      <w:textAlignment w:val="baseline"/>
    </w:pPr>
    <w:rPr>
      <w:rFonts w:ascii="Liberation Serif" w:hAnsi="Liberation Serif" w:eastAsia="NSimSun" w:cs="Lucida Sans"/>
      <w:color w:val="auto"/>
      <w:kern w:val="2"/>
      <w:sz w:val="24"/>
      <w:szCs w:val="24"/>
      <w:lang w:val="hr-HR" w:eastAsia="zh-CN" w:bidi="hi-IN"/>
    </w:rPr>
  </w:style>
  <w:style w:type="paragraph" w:styleId="Zaglavljelijevo">
    <w:name w:val="Zaglavlje lijevo"/>
    <w:basedOn w:val="Zaglavlje"/>
    <w:qFormat/>
    <w:pPr/>
    <w:rPr/>
  </w:style>
  <w:style w:type="paragraph" w:styleId="Default">
    <w:name w:val="Default"/>
    <w:qFormat/>
    <w:pPr>
      <w:widowControl/>
      <w:suppressAutoHyphens w:val="true"/>
      <w:bidi w:val="0"/>
      <w:spacing w:before="0" w:after="0"/>
      <w:ind w:hanging="0"/>
      <w:jc w:val="left"/>
    </w:pPr>
    <w:rPr>
      <w:rFonts w:ascii="Times New Roman" w:hAnsi="Times New Roman" w:eastAsia="Calibri" w:cs="Times New Roman"/>
      <w:color w:val="000000"/>
      <w:kern w:val="0"/>
      <w:sz w:val="24"/>
      <w:szCs w:val="24"/>
      <w:lang w:val="hr-HR" w:eastAsia="en-US" w:bidi="ar-SA"/>
    </w:rPr>
  </w:style>
  <w:style w:type="paragraph" w:styleId="Obinitekst1">
    <w:name w:val="Obični tekst1"/>
    <w:basedOn w:val="Normal"/>
    <w:qFormat/>
    <w:pPr>
      <w:spacing w:lineRule="atLeast" w:line="100" w:before="0" w:after="0"/>
    </w:pPr>
    <w:rPr>
      <w:rFonts w:ascii="Consolas" w:hAnsi="Consolas" w:eastAsia="Times New Roman" w:cs="font316"/>
      <w:color w:val="00000A"/>
      <w:kern w:val="2"/>
      <w:sz w:val="21"/>
      <w:szCs w:val="21"/>
      <w14:ligatures w14:val="none"/>
    </w:rPr>
  </w:style>
  <w:style w:type="paragraph" w:styleId="Tijelotekstauvlaka21">
    <w:name w:val="Tijelo teksta - uvlaka 21"/>
    <w:basedOn w:val="Normal"/>
    <w:qFormat/>
    <w:pPr>
      <w:spacing w:lineRule="auto" w:line="480" w:before="0" w:after="120"/>
      <w:ind w:left="283" w:hanging="0"/>
      <w:jc w:val="both"/>
    </w:pPr>
    <w:rPr>
      <w:rFonts w:ascii="Times New Roman" w:hAnsi="Times New Roman" w:eastAsia="Times New Roman" w:cs="Times New Roman"/>
      <w:color w:val="00000A"/>
      <w:kern w:val="2"/>
      <w:szCs w:val="20"/>
      <w:lang w:eastAsia="hr-HR"/>
      <w14:ligatures w14:val="none"/>
    </w:rPr>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pcina.negoslavci@gmail.com" TargetMode="External"/><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2.png"/><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image" Target="media/image2.png"/><Relationship Id="rId11" Type="http://schemas.openxmlformats.org/officeDocument/2006/relationships/image" Target="media/image2.png"/><Relationship Id="rId12" Type="http://schemas.openxmlformats.org/officeDocument/2006/relationships/image" Target="media/image2.png"/><Relationship Id="rId13" Type="http://schemas.openxmlformats.org/officeDocument/2006/relationships/hyperlink" Target="https://www.zakon.hr/cms.htm?id=477" TargetMode="External"/><Relationship Id="rId14" Type="http://schemas.openxmlformats.org/officeDocument/2006/relationships/hyperlink" Target="https://www.zakon.hr/cms.htm?id=478" TargetMode="External"/><Relationship Id="rId15" Type="http://schemas.openxmlformats.org/officeDocument/2006/relationships/hyperlink" Target="https://www.zakon.hr/cms.htm?id=479" TargetMode="External"/><Relationship Id="rId16" Type="http://schemas.openxmlformats.org/officeDocument/2006/relationships/hyperlink" Target="https://www.zakon.hr/cms.htm?id=40813" TargetMode="External"/><Relationship Id="rId17" Type="http://schemas.openxmlformats.org/officeDocument/2006/relationships/hyperlink" Target="https://www.zakon.hr/cms.htm?id=66" TargetMode="External"/><Relationship Id="rId18" Type="http://schemas.openxmlformats.org/officeDocument/2006/relationships/hyperlink" Target="https://www.zakon.hr/cms.htm?id=67" TargetMode="External"/><Relationship Id="rId19" Type="http://schemas.openxmlformats.org/officeDocument/2006/relationships/hyperlink" Target="https://www.zakon.hr/cms.htm?id=68" TargetMode="External"/><Relationship Id="rId20" Type="http://schemas.openxmlformats.org/officeDocument/2006/relationships/hyperlink" Target="https://www.zakon.hr/cms.htm?id=69" TargetMode="External"/><Relationship Id="rId21" Type="http://schemas.openxmlformats.org/officeDocument/2006/relationships/hyperlink" Target="https://www.zakon.hr/cms.htm?id=70" TargetMode="External"/><Relationship Id="rId22" Type="http://schemas.openxmlformats.org/officeDocument/2006/relationships/hyperlink" Target="https://www.zakon.hr/cms.htm?id=71" TargetMode="External"/><Relationship Id="rId23" Type="http://schemas.openxmlformats.org/officeDocument/2006/relationships/hyperlink" Target="https://www.zakon.hr/cms.htm?id=72" TargetMode="External"/><Relationship Id="rId24" Type="http://schemas.openxmlformats.org/officeDocument/2006/relationships/hyperlink" Target="https://www.zakon.hr/cms.htm?id=73" TargetMode="External"/><Relationship Id="rId25" Type="http://schemas.openxmlformats.org/officeDocument/2006/relationships/hyperlink" Target="https://www.zakon.hr/cms.htm?id=182" TargetMode="External"/><Relationship Id="rId26" Type="http://schemas.openxmlformats.org/officeDocument/2006/relationships/hyperlink" Target="https://www.zakon.hr/cms.htm?id=480" TargetMode="External"/><Relationship Id="rId27" Type="http://schemas.openxmlformats.org/officeDocument/2006/relationships/hyperlink" Target="https://www.zakon.hr/cms.htm?id=1671" TargetMode="External"/><Relationship Id="rId28" Type="http://schemas.openxmlformats.org/officeDocument/2006/relationships/hyperlink" Target="https://www.zakon.hr/cms.htm?id=17751" TargetMode="External"/><Relationship Id="rId29" Type="http://schemas.openxmlformats.org/officeDocument/2006/relationships/hyperlink" Target="https://www.zakon.hr/cms.htm?id=31279" TargetMode="External"/><Relationship Id="rId30" Type="http://schemas.openxmlformats.org/officeDocument/2006/relationships/hyperlink" Target="https://www.zakon.hr/cms.htm?id=40815" TargetMode="External"/><Relationship Id="rId31" Type="http://schemas.openxmlformats.org/officeDocument/2006/relationships/hyperlink" Target="https://www.zakon.hr/cms.htm?id=44620" TargetMode="External"/><Relationship Id="rId32" Type="http://schemas.openxmlformats.org/officeDocument/2006/relationships/image" Target="media/image2.png"/><Relationship Id="rId33" Type="http://schemas.openxmlformats.org/officeDocument/2006/relationships/image" Target="media/image2.png"/><Relationship Id="rId34" Type="http://schemas.openxmlformats.org/officeDocument/2006/relationships/image" Target="media/image2.png"/><Relationship Id="rId35" Type="http://schemas.openxmlformats.org/officeDocument/2006/relationships/image" Target="media/image2.png"/><Relationship Id="rId36" Type="http://schemas.openxmlformats.org/officeDocument/2006/relationships/image" Target="media/image2.png"/><Relationship Id="rId37" Type="http://schemas.openxmlformats.org/officeDocument/2006/relationships/image" Target="media/image2.png"/><Relationship Id="rId38" Type="http://schemas.openxmlformats.org/officeDocument/2006/relationships/image" Target="media/image2.png"/><Relationship Id="rId39" Type="http://schemas.openxmlformats.org/officeDocument/2006/relationships/header" Target="header5.xml"/><Relationship Id="rId40" Type="http://schemas.openxmlformats.org/officeDocument/2006/relationships/header" Target="header6.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481</TotalTime>
  <Application>LibreOffice/7.4.1.2$Windows_X86_64 LibreOffice_project/3c58a8f3a960df8bc8fd77b461821e42c061c5f0</Application>
  <AppVersion>15.0000</AppVersion>
  <Pages>44</Pages>
  <Words>9963</Words>
  <Characters>62564</Characters>
  <CharactersWithSpaces>72862</CharactersWithSpaces>
  <Paragraphs>2130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2026-02-26T13:40:22Z</dcterms:created>
  <dc:creator/>
  <dc:description/>
  <dc:language>hr-HR</dc:language>
  <cp:lastModifiedBy/>
  <cp:lastPrinted>2026-07-16T11:00:48Z</cp:lastPrinted>
  <dcterms:modified xsi:type="dcterms:W3CDTF">2026-07-16T11:27:09Z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file>