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
          <w:lang w:val="hr-HR"/>
        </w:rPr>
      </w:pPr>
      <w:r>
        <w:rPr>
          <w:b/>
          <w:lang w:val="hr-HR"/>
        </w:rPr>
        <w:tab/>
        <w:tab/>
      </w:r>
      <w:r>
        <w:rPr/>
        <w:drawing>
          <wp:inline distT="0" distB="0" distL="0" distR="0">
            <wp:extent cx="476250" cy="600075"/>
            <wp:effectExtent l="0" t="0" r="0" b="0"/>
            <wp:docPr id="1"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
                    <pic:cNvPicPr>
                      <a:picLocks noChangeAspect="1" noChangeArrowheads="1"/>
                    </pic:cNvPicPr>
                  </pic:nvPicPr>
                  <pic:blipFill>
                    <a:blip r:embed="rId2"/>
                    <a:stretch>
                      <a:fillRect/>
                    </a:stretch>
                  </pic:blipFill>
                  <pic:spPr bwMode="auto">
                    <a:xfrm>
                      <a:off x="0" y="0"/>
                      <a:ext cx="476250" cy="600075"/>
                    </a:xfrm>
                    <a:prstGeom prst="rect">
                      <a:avLst/>
                    </a:prstGeom>
                  </pic:spPr>
                </pic:pic>
              </a:graphicData>
            </a:graphic>
          </wp:inline>
        </w:drawing>
      </w:r>
    </w:p>
    <w:p>
      <w:pPr>
        <w:pStyle w:val="Normal"/>
        <w:rPr>
          <w:b/>
          <w:b/>
          <w:lang w:val="hr-HR"/>
        </w:rPr>
      </w:pPr>
      <w:r>
        <w:rPr>
          <w:b/>
          <w:lang w:val="hr-HR"/>
        </w:rPr>
        <w:tab/>
        <w:t>REPUBLIKA HRVATSKA</w:t>
        <w:br/>
        <w:t>VUKOVARSKO-SRIJEMSKA ŽUPANIJA</w:t>
      </w:r>
    </w:p>
    <w:p>
      <w:pPr>
        <w:pStyle w:val="Normal"/>
        <w:rPr>
          <w:b/>
          <w:b/>
          <w:lang w:val="hr-HR"/>
        </w:rPr>
      </w:pPr>
      <w:r>
        <w:rPr>
          <w:b/>
          <w:lang w:val="hr-HR"/>
        </w:rPr>
        <w:t>OPĆINA NEGOSLAVCI</w:t>
      </w:r>
    </w:p>
    <w:p>
      <w:pPr>
        <w:pStyle w:val="Normal"/>
        <w:rPr>
          <w:b/>
          <w:b/>
          <w:lang w:val="hr-HR"/>
        </w:rPr>
      </w:pPr>
      <w:r>
        <w:rPr>
          <w:b/>
          <w:lang w:val="hr-HR"/>
        </w:rPr>
        <w:t>Općinsko vijeće</w:t>
      </w:r>
    </w:p>
    <w:p>
      <w:pPr>
        <w:pStyle w:val="Normal"/>
        <w:rPr>
          <w:color w:val="FF0000"/>
          <w:lang w:val="hr-HR"/>
        </w:rPr>
      </w:pPr>
      <w:r>
        <w:rPr>
          <w:b/>
          <w:lang w:val="hr-HR"/>
        </w:rPr>
        <w:t>KLASA:</w:t>
      </w:r>
      <w:r>
        <w:rPr>
          <w:lang w:val="hr-HR"/>
        </w:rPr>
        <w:t xml:space="preserve"> 363-01/2</w:t>
      </w:r>
      <w:r>
        <w:rPr>
          <w:lang w:val="hr-HR"/>
        </w:rPr>
        <w:t>2</w:t>
      </w:r>
      <w:r>
        <w:rPr>
          <w:lang w:val="hr-HR"/>
        </w:rPr>
        <w:t>-0</w:t>
      </w:r>
      <w:r>
        <w:rPr>
          <w:color w:val="000000"/>
          <w:lang w:val="hr-HR"/>
        </w:rPr>
        <w:t>1</w:t>
      </w:r>
      <w:r>
        <w:rPr>
          <w:color w:val="000000"/>
          <w:lang w:val="hr-HR"/>
        </w:rPr>
        <w:t>/0</w:t>
      </w:r>
      <w:r>
        <w:rPr>
          <w:color w:val="000000"/>
          <w:lang w:val="hr-HR"/>
        </w:rPr>
        <w:t>6</w:t>
      </w:r>
    </w:p>
    <w:p>
      <w:pPr>
        <w:pStyle w:val="Normal"/>
        <w:rPr>
          <w:lang w:val="hr-HR"/>
        </w:rPr>
      </w:pPr>
      <w:r>
        <w:rPr>
          <w:b/>
          <w:lang w:val="hr-HR"/>
        </w:rPr>
        <w:t>URBROJ:</w:t>
      </w:r>
      <w:r>
        <w:rPr>
          <w:lang w:val="hr-HR"/>
        </w:rPr>
        <w:t xml:space="preserve"> 2196-19-02-26-0</w:t>
      </w:r>
      <w:r>
        <w:rPr>
          <w:lang w:val="hr-HR"/>
        </w:rPr>
        <w:t>3</w:t>
      </w:r>
    </w:p>
    <w:p>
      <w:pPr>
        <w:pStyle w:val="Normal"/>
        <w:rPr>
          <w:lang w:val="hr-HR"/>
        </w:rPr>
      </w:pPr>
      <w:r>
        <w:rPr>
          <w:b/>
          <w:color w:val="000000" w:themeColor="text1"/>
          <w:lang w:val="hr-HR"/>
        </w:rPr>
        <w:t>Negoslavci,</w:t>
      </w:r>
      <w:r>
        <w:rPr>
          <w:color w:val="000000" w:themeColor="text1"/>
          <w:lang w:val="hr-HR"/>
        </w:rPr>
        <w:t xml:space="preserve"> 24. rujna 2026.</w:t>
      </w:r>
    </w:p>
    <w:p>
      <w:pPr>
        <w:pStyle w:val="Normal"/>
        <w:jc w:val="both"/>
        <w:rPr>
          <w:lang w:val="hr-HR"/>
        </w:rPr>
      </w:pPr>
      <w:r>
        <w:rPr>
          <w:lang w:val="hr-HR"/>
        </w:rPr>
      </w:r>
    </w:p>
    <w:p>
      <w:pPr>
        <w:pStyle w:val="Normal"/>
        <w:jc w:val="both"/>
        <w:rPr>
          <w:lang w:val="hr-HR"/>
        </w:rPr>
      </w:pPr>
      <w:r>
        <w:rPr>
          <w:lang w:val="hr-HR"/>
        </w:rPr>
        <w:tab/>
        <w:t xml:space="preserve">Na temelju članka 104. Zakona o komunalnom gospodarstvu („Narodne novine“ broj 68/18, 110/18, 32/20 i 145/24) i članka 19., točke 2. Statuta Općine Negoslavci („Službeni glasnik Općine Negoslavci“ broj 04/25), Općinsko vijeće Općine Negoslavci na svojoj redovnoj sjednici održanoj </w:t>
      </w:r>
      <w:r>
        <w:rPr>
          <w:color w:val="000000" w:themeColor="text1"/>
          <w:lang w:val="hr-HR"/>
        </w:rPr>
        <w:t>dana 24.09.</w:t>
      </w:r>
      <w:r>
        <w:rPr>
          <w:lang w:val="hr-HR"/>
        </w:rPr>
        <w:t>2026. godine donosi</w:t>
      </w:r>
    </w:p>
    <w:p>
      <w:pPr>
        <w:pStyle w:val="Normal"/>
        <w:jc w:val="both"/>
        <w:rPr>
          <w:b/>
          <w:b/>
          <w:lang w:val="hr-HR"/>
        </w:rPr>
      </w:pPr>
      <w:r>
        <w:rPr>
          <w:b/>
          <w:lang w:val="hr-HR"/>
        </w:rPr>
      </w:r>
    </w:p>
    <w:p>
      <w:pPr>
        <w:pStyle w:val="Normal"/>
        <w:jc w:val="center"/>
        <w:rPr>
          <w:b/>
          <w:b/>
          <w:lang w:val="hr-HR"/>
        </w:rPr>
      </w:pPr>
      <w:r>
        <w:rPr>
          <w:b/>
          <w:lang w:val="hr-HR"/>
        </w:rPr>
        <w:t>ODLUKU</w:t>
      </w:r>
    </w:p>
    <w:p>
      <w:pPr>
        <w:pStyle w:val="Normal"/>
        <w:jc w:val="center"/>
        <w:rPr>
          <w:b/>
          <w:b/>
          <w:lang w:val="hr-HR"/>
        </w:rPr>
      </w:pPr>
      <w:r>
        <w:rPr>
          <w:b/>
          <w:lang w:val="hr-HR"/>
        </w:rPr>
        <w:t>o komunalnom redu Općine Negoslavci</w:t>
      </w:r>
    </w:p>
    <w:p>
      <w:pPr>
        <w:pStyle w:val="Normal"/>
        <w:jc w:val="center"/>
        <w:rPr>
          <w:b/>
          <w:b/>
          <w:lang w:val="hr-HR"/>
        </w:rPr>
      </w:pPr>
      <w:r>
        <w:rPr>
          <w:b/>
          <w:lang w:val="hr-HR"/>
        </w:rPr>
        <w:t>-</w:t>
      </w:r>
      <w:r>
        <w:rPr>
          <w:b/>
          <w:lang w:val="hr-HR"/>
        </w:rPr>
        <w:t>pročišćen tekst-</w:t>
      </w:r>
    </w:p>
    <w:p>
      <w:pPr>
        <w:pStyle w:val="Normal"/>
        <w:jc w:val="center"/>
        <w:rPr>
          <w:b/>
          <w:b/>
          <w:lang w:val="hr-HR"/>
        </w:rPr>
      </w:pPr>
      <w:r>
        <w:rPr>
          <w:b/>
          <w:lang w:val="hr-HR"/>
        </w:rPr>
      </w:r>
    </w:p>
    <w:p>
      <w:pPr>
        <w:pStyle w:val="Normal"/>
        <w:jc w:val="center"/>
        <w:rPr>
          <w:b/>
          <w:b/>
          <w:lang w:val="hr-HR"/>
        </w:rPr>
      </w:pPr>
      <w:r>
        <w:rPr>
          <w:b/>
          <w:lang w:val="hr-HR"/>
        </w:rPr>
        <w:t>Članak 1.</w:t>
      </w:r>
    </w:p>
    <w:p>
      <w:pPr>
        <w:pStyle w:val="Normal"/>
        <w:jc w:val="both"/>
        <w:rPr>
          <w:lang w:val="hr-HR"/>
        </w:rPr>
      </w:pPr>
      <w:r>
        <w:rPr>
          <w:lang w:val="hr-HR"/>
        </w:rPr>
        <w:tab/>
        <w:t>Ovom Odlukom propisuje se komunalni red na području Općine Negoslavci i mjere za njegovo provođenje.</w:t>
      </w:r>
    </w:p>
    <w:p>
      <w:pPr>
        <w:pStyle w:val="Normal"/>
        <w:jc w:val="both"/>
        <w:rPr>
          <w:lang w:val="hr-HR"/>
        </w:rPr>
      </w:pPr>
      <w:r>
        <w:rPr>
          <w:lang w:val="hr-HR"/>
        </w:rPr>
        <w:tab/>
        <w:t>Ovom Odlukom naročito se propisuje :</w:t>
      </w:r>
    </w:p>
    <w:p>
      <w:pPr>
        <w:pStyle w:val="ListParagraph"/>
        <w:numPr>
          <w:ilvl w:val="0"/>
          <w:numId w:val="2"/>
        </w:numPr>
        <w:jc w:val="both"/>
        <w:rPr>
          <w:lang w:val="hr-HR"/>
        </w:rPr>
      </w:pPr>
      <w:r>
        <w:rPr>
          <w:lang w:val="hr-HR"/>
        </w:rPr>
        <w:t>uređenje naselja,</w:t>
      </w:r>
    </w:p>
    <w:p>
      <w:pPr>
        <w:pStyle w:val="ListParagraph"/>
        <w:numPr>
          <w:ilvl w:val="0"/>
          <w:numId w:val="2"/>
        </w:numPr>
        <w:jc w:val="both"/>
        <w:rPr>
          <w:lang w:val="hr-HR"/>
        </w:rPr>
      </w:pPr>
      <w:r>
        <w:rPr>
          <w:lang w:val="hr-HR"/>
        </w:rPr>
        <w:t>održavanje čistoće,</w:t>
      </w:r>
    </w:p>
    <w:p>
      <w:pPr>
        <w:pStyle w:val="ListParagraph"/>
        <w:numPr>
          <w:ilvl w:val="0"/>
          <w:numId w:val="2"/>
        </w:numPr>
        <w:jc w:val="both"/>
        <w:rPr>
          <w:lang w:val="hr-HR"/>
        </w:rPr>
      </w:pPr>
      <w:r>
        <w:rPr>
          <w:lang w:val="hr-HR"/>
        </w:rPr>
        <w:t>čuvanje i korištenje javnih površina,</w:t>
      </w:r>
    </w:p>
    <w:p>
      <w:pPr>
        <w:pStyle w:val="ListParagraph"/>
        <w:numPr>
          <w:ilvl w:val="0"/>
          <w:numId w:val="2"/>
        </w:numPr>
        <w:jc w:val="both"/>
        <w:rPr>
          <w:lang w:val="hr-HR"/>
        </w:rPr>
      </w:pPr>
      <w:r>
        <w:rPr>
          <w:lang w:val="hr-HR"/>
        </w:rPr>
        <w:t xml:space="preserve">skupljanje, odvoz </w:t>
      </w:r>
    </w:p>
    <w:p>
      <w:pPr>
        <w:pStyle w:val="ListParagraph"/>
        <w:numPr>
          <w:ilvl w:val="0"/>
          <w:numId w:val="2"/>
        </w:numPr>
        <w:jc w:val="both"/>
        <w:rPr>
          <w:lang w:val="hr-HR"/>
        </w:rPr>
      </w:pPr>
      <w:r>
        <w:rPr>
          <w:lang w:val="hr-HR"/>
        </w:rPr>
        <w:t xml:space="preserve">i postupanje sa skupljenim komunalnim otpadom, </w:t>
      </w:r>
    </w:p>
    <w:p>
      <w:pPr>
        <w:pStyle w:val="ListParagraph"/>
        <w:numPr>
          <w:ilvl w:val="0"/>
          <w:numId w:val="2"/>
        </w:numPr>
        <w:jc w:val="both"/>
        <w:rPr>
          <w:lang w:val="hr-HR"/>
        </w:rPr>
      </w:pPr>
      <w:r>
        <w:rPr>
          <w:lang w:val="hr-HR"/>
        </w:rPr>
        <w:t>uklanjanje snijega i leda,</w:t>
      </w:r>
    </w:p>
    <w:p>
      <w:pPr>
        <w:pStyle w:val="ListParagraph"/>
        <w:numPr>
          <w:ilvl w:val="0"/>
          <w:numId w:val="2"/>
        </w:numPr>
        <w:jc w:val="both"/>
        <w:rPr>
          <w:lang w:val="hr-HR"/>
        </w:rPr>
      </w:pPr>
      <w:r>
        <w:rPr>
          <w:lang w:val="hr-HR"/>
        </w:rPr>
        <w:t>uklanjanje protupravno postavljenih predmeta,</w:t>
      </w:r>
    </w:p>
    <w:p>
      <w:pPr>
        <w:pStyle w:val="ListParagraph"/>
        <w:numPr>
          <w:ilvl w:val="0"/>
          <w:numId w:val="2"/>
        </w:numPr>
        <w:jc w:val="both"/>
        <w:rPr>
          <w:lang w:val="hr-HR"/>
        </w:rPr>
      </w:pPr>
      <w:r>
        <w:rPr>
          <w:lang w:val="hr-HR"/>
        </w:rPr>
        <w:t>mjere za provođenje komunalnog reda,</w:t>
      </w:r>
    </w:p>
    <w:p>
      <w:pPr>
        <w:pStyle w:val="ListParagraph"/>
        <w:numPr>
          <w:ilvl w:val="0"/>
          <w:numId w:val="2"/>
        </w:numPr>
        <w:jc w:val="both"/>
        <w:rPr>
          <w:lang w:val="hr-HR"/>
        </w:rPr>
      </w:pPr>
      <w:r>
        <w:rPr>
          <w:lang w:val="hr-HR"/>
        </w:rPr>
        <w:t>druga pitanja od značaja za provođenje komunalnog reda,</w:t>
      </w:r>
    </w:p>
    <w:p>
      <w:pPr>
        <w:pStyle w:val="ListParagraph"/>
        <w:numPr>
          <w:ilvl w:val="0"/>
          <w:numId w:val="2"/>
        </w:numPr>
        <w:jc w:val="both"/>
        <w:rPr>
          <w:lang w:val="hr-HR"/>
        </w:rPr>
      </w:pPr>
      <w:r>
        <w:rPr>
          <w:lang w:val="hr-HR"/>
        </w:rPr>
        <w:t>kazne za prekršaje.</w:t>
      </w:r>
    </w:p>
    <w:p>
      <w:pPr>
        <w:pStyle w:val="Normal"/>
        <w:rPr>
          <w:lang w:val="hr-HR"/>
        </w:rPr>
      </w:pPr>
      <w:r>
        <w:rPr>
          <w:lang w:val="hr-HR"/>
        </w:rPr>
        <w:tab/>
        <w:t>Ovom Odlukom osigurava se mogućnost korištenja površina javne namjene na način koji omogućava kretanje osoba s posebnim potrebama.</w:t>
      </w:r>
    </w:p>
    <w:p>
      <w:pPr>
        <w:pStyle w:val="Normal"/>
        <w:rPr>
          <w:lang w:val="hr-HR"/>
        </w:rPr>
      </w:pPr>
      <w:r>
        <w:rPr>
          <w:lang w:val="hr-HR"/>
        </w:rPr>
      </w:r>
    </w:p>
    <w:p>
      <w:pPr>
        <w:pStyle w:val="Normal"/>
        <w:jc w:val="center"/>
        <w:rPr>
          <w:b/>
          <w:b/>
          <w:lang w:val="hr-HR"/>
        </w:rPr>
      </w:pPr>
      <w:r>
        <w:rPr>
          <w:b/>
          <w:lang w:val="hr-HR"/>
        </w:rPr>
        <w:t>Članak 2.</w:t>
      </w:r>
    </w:p>
    <w:p>
      <w:pPr>
        <w:pStyle w:val="Normal"/>
        <w:jc w:val="both"/>
        <w:rPr>
          <w:lang w:val="hr-HR"/>
        </w:rPr>
      </w:pPr>
      <w:r>
        <w:rPr>
          <w:lang w:val="hr-HR"/>
        </w:rPr>
        <w:tab/>
      </w:r>
      <w:r>
        <w:rPr>
          <w:color w:val="000000"/>
          <w:lang w:val="hr-HR"/>
        </w:rPr>
        <w:t xml:space="preserve">Fizičke i pravne osobe te drugi subjekti </w:t>
      </w:r>
      <w:r>
        <w:rPr>
          <w:color w:val="000000"/>
          <w:lang w:val="hr-HR"/>
        </w:rPr>
        <w:t>s područja O</w:t>
      </w:r>
      <w:r>
        <w:rPr>
          <w:lang w:val="hr-HR"/>
        </w:rPr>
        <w:t>pćine kao i subjekti koji borave ili prolaze područjem Općine, obvezni su pridržavati se komunalnog reda, propisanog ovom Odlukom.</w:t>
      </w:r>
    </w:p>
    <w:p>
      <w:pPr>
        <w:pStyle w:val="Normal"/>
        <w:rPr>
          <w:lang w:val="hr-HR"/>
        </w:rPr>
      </w:pPr>
      <w:r>
        <w:rPr>
          <w:lang w:val="hr-HR"/>
        </w:rPr>
      </w:r>
    </w:p>
    <w:p>
      <w:pPr>
        <w:pStyle w:val="Normal"/>
        <w:rPr>
          <w:lang w:val="hr-HR"/>
        </w:rPr>
      </w:pPr>
      <w:r>
        <w:rPr>
          <w:lang w:val="hr-HR"/>
        </w:rPr>
      </w:r>
    </w:p>
    <w:p>
      <w:pPr>
        <w:pStyle w:val="Normal"/>
        <w:rPr>
          <w:lang w:val="hr-HR"/>
        </w:rPr>
      </w:pPr>
      <w:r>
        <w:rPr>
          <w:lang w:val="hr-HR"/>
        </w:rPr>
      </w:r>
    </w:p>
    <w:p>
      <w:pPr>
        <w:pStyle w:val="Normal"/>
        <w:rPr>
          <w:lang w:val="hr-HR"/>
        </w:rPr>
      </w:pPr>
      <w:r>
        <w:rPr>
          <w:lang w:val="hr-HR"/>
        </w:rPr>
      </w:r>
    </w:p>
    <w:p>
      <w:pPr>
        <w:pStyle w:val="Normal"/>
        <w:rPr>
          <w:lang w:val="hr-HR"/>
        </w:rPr>
      </w:pPr>
      <w:r>
        <w:rPr>
          <w:lang w:val="hr-HR"/>
        </w:rPr>
      </w:r>
    </w:p>
    <w:p>
      <w:pPr>
        <w:pStyle w:val="Normal"/>
        <w:jc w:val="both"/>
        <w:rPr>
          <w:b/>
          <w:b/>
          <w:lang w:val="hr-HR"/>
        </w:rPr>
      </w:pPr>
      <w:r>
        <w:rPr>
          <w:b/>
          <w:lang w:val="hr-HR"/>
        </w:rPr>
        <w:t>II. POSEBNE ODREDBE</w:t>
      </w:r>
    </w:p>
    <w:p>
      <w:pPr>
        <w:pStyle w:val="ListParagraph"/>
        <w:numPr>
          <w:ilvl w:val="0"/>
          <w:numId w:val="5"/>
        </w:numPr>
        <w:rPr>
          <w:b/>
          <w:b/>
          <w:lang w:val="hr-HR"/>
        </w:rPr>
      </w:pPr>
      <w:r>
        <w:rPr>
          <w:b/>
          <w:lang w:val="hr-HR"/>
        </w:rPr>
        <w:t>Uređenje naselja</w:t>
      </w:r>
    </w:p>
    <w:p>
      <w:pPr>
        <w:pStyle w:val="Normal"/>
        <w:jc w:val="center"/>
        <w:rPr>
          <w:b/>
          <w:b/>
          <w:lang w:val="hr-HR"/>
        </w:rPr>
      </w:pPr>
      <w:r>
        <w:rPr>
          <w:b/>
          <w:lang w:val="hr-HR"/>
        </w:rPr>
        <w:t>Članak 3.</w:t>
      </w:r>
    </w:p>
    <w:p>
      <w:pPr>
        <w:pStyle w:val="Normal"/>
        <w:jc w:val="both"/>
        <w:rPr>
          <w:lang w:val="hr-HR"/>
        </w:rPr>
      </w:pPr>
      <w:r>
        <w:rPr>
          <w:lang w:val="hr-HR"/>
        </w:rPr>
        <w:tab/>
        <w:t>Za štete i ozljede ljudi uzrokovane zbog lošeg stanja građevine odgovorni su vlasnici odnosno korisnici zgrade.</w:t>
      </w:r>
    </w:p>
    <w:p>
      <w:pPr>
        <w:pStyle w:val="Normal"/>
        <w:jc w:val="both"/>
        <w:rPr>
          <w:lang w:val="hr-HR"/>
        </w:rPr>
      </w:pPr>
      <w:r>
        <w:rPr>
          <w:lang w:val="hr-HR"/>
        </w:rPr>
        <w:tab/>
        <w:t>Vlasniku odnosno korisniku zgrade, čije je pročelje fasade oštećeno tako da ugrožava prolaznike pješake i odvijanje prometa, uslijed otpadanja žbuke, cigle i drugih građevinskih elementa komunalni redar će naložiti mjere uređenja pročelja zgrade, kao i u slučajevima kada oštećena zgrada ugrožava susjeda građevine.</w:t>
      </w:r>
    </w:p>
    <w:p>
      <w:pPr>
        <w:pStyle w:val="Normal"/>
        <w:jc w:val="both"/>
        <w:rPr>
          <w:lang w:val="hr-HR"/>
        </w:rPr>
      </w:pPr>
      <w:r>
        <w:rPr>
          <w:lang w:val="hr-HR"/>
        </w:rPr>
        <w:tab/>
        <w:t xml:space="preserve">Ako vlasnik odnosno korisnik zgrade ne izvrši naložene mjere iz prethodnog stavka, Općina Negoslavci može izvršiti preventivno ograđivanje javne površine u cijeloj širini pročelja zgrade kako bi se zaštitili pješaci. </w:t>
      </w:r>
    </w:p>
    <w:p>
      <w:pPr>
        <w:pStyle w:val="Normal"/>
        <w:jc w:val="both"/>
        <w:rPr>
          <w:lang w:val="hr-HR"/>
        </w:rPr>
      </w:pPr>
      <w:r>
        <w:rPr>
          <w:lang w:val="hr-HR"/>
        </w:rPr>
        <w:tab/>
        <w:t>U slučaju ako vlasnik odnosno korisnik ne postupi sukladno stavku 2. ovoga članka komunalni redar će obavijestiti građevinsku inspekciju, a može podnijeti i zahtjev za pokretanje prekršajnog postupka kod Prekršajnog suda u Vukovaru.</w:t>
      </w:r>
    </w:p>
    <w:p>
      <w:pPr>
        <w:pStyle w:val="Normal"/>
        <w:jc w:val="both"/>
        <w:rPr>
          <w:lang w:val="hr-HR"/>
        </w:rPr>
      </w:pPr>
      <w:r>
        <w:rPr>
          <w:lang w:val="hr-HR"/>
        </w:rPr>
      </w:r>
    </w:p>
    <w:p>
      <w:pPr>
        <w:pStyle w:val="Normal"/>
        <w:jc w:val="center"/>
        <w:rPr>
          <w:b/>
          <w:b/>
          <w:lang w:val="hr-HR"/>
        </w:rPr>
      </w:pPr>
      <w:r>
        <w:rPr>
          <w:b/>
          <w:lang w:val="hr-HR"/>
        </w:rPr>
        <w:t>Članak 4.</w:t>
      </w:r>
    </w:p>
    <w:p>
      <w:pPr>
        <w:pStyle w:val="NoSpacing"/>
        <w:jc w:val="both"/>
        <w:rPr>
          <w:rFonts w:ascii="Times New Roman" w:hAnsi="Times New Roman" w:cs="Times New Roman"/>
          <w:sz w:val="24"/>
        </w:rPr>
      </w:pPr>
      <w:r>
        <w:rPr>
          <w:rFonts w:cs="Times New Roman" w:ascii="Times New Roman" w:hAnsi="Times New Roman"/>
          <w:sz w:val="24"/>
        </w:rPr>
        <w:tab/>
        <w:t xml:space="preserve">Zabranjeno je pisati grafite, poruke i slično te na drugi način uništavati vanjske dijelove zgrade. </w:t>
      </w:r>
    </w:p>
    <w:p>
      <w:pPr>
        <w:pStyle w:val="NoSpacing"/>
        <w:jc w:val="both"/>
        <w:rPr>
          <w:rFonts w:ascii="Times New Roman" w:hAnsi="Times New Roman" w:cs="Times New Roman"/>
          <w:sz w:val="24"/>
        </w:rPr>
      </w:pPr>
      <w:r>
        <w:rPr>
          <w:rFonts w:cs="Times New Roman" w:ascii="Times New Roman" w:hAnsi="Times New Roman"/>
          <w:sz w:val="24"/>
        </w:rPr>
      </w:r>
    </w:p>
    <w:p>
      <w:pPr>
        <w:pStyle w:val="Normal"/>
        <w:jc w:val="center"/>
        <w:rPr>
          <w:b/>
          <w:b/>
          <w:lang w:val="hr-HR"/>
        </w:rPr>
      </w:pPr>
      <w:r>
        <w:rPr>
          <w:b/>
          <w:lang w:val="hr-HR"/>
        </w:rPr>
        <w:t>Članak 5.</w:t>
      </w:r>
    </w:p>
    <w:p>
      <w:pPr>
        <w:pStyle w:val="Normal"/>
        <w:jc w:val="both"/>
        <w:rPr>
          <w:lang w:val="hr-HR"/>
        </w:rPr>
      </w:pPr>
      <w:r>
        <w:rPr>
          <w:b/>
          <w:lang w:val="hr-HR"/>
        </w:rPr>
        <w:tab/>
      </w:r>
      <w:r>
        <w:rPr>
          <w:lang w:val="hr-HR"/>
        </w:rPr>
        <w:t>Zabranjeno je svako podizanje ćuprije vlasnika ili korisnika zgrade (betoniranje ili na drugi način) bez odobrenja komunalnog redara.</w:t>
      </w:r>
    </w:p>
    <w:p>
      <w:pPr>
        <w:pStyle w:val="Normal"/>
        <w:jc w:val="both"/>
        <w:rPr>
          <w:lang w:val="hr-HR"/>
        </w:rPr>
      </w:pPr>
      <w:r>
        <w:rPr>
          <w:lang w:val="hr-HR"/>
        </w:rPr>
        <w:tab/>
        <w:t>Ako je vlasnik ili korisnik zgrade bez odobrenja komunalnog redara podigao ćupriju ili ju je podigao tako da se voda sliva u susjedovo dvorište kaznit će se sukladno članku 46. i 47. ove Odluke.</w:t>
      </w:r>
    </w:p>
    <w:p>
      <w:pPr>
        <w:pStyle w:val="Normal"/>
        <w:jc w:val="center"/>
        <w:rPr>
          <w:b/>
          <w:b/>
          <w:lang w:val="hr-HR"/>
        </w:rPr>
      </w:pPr>
      <w:r>
        <w:rPr>
          <w:b/>
          <w:lang w:val="hr-HR"/>
        </w:rPr>
      </w:r>
    </w:p>
    <w:p>
      <w:pPr>
        <w:pStyle w:val="Normal"/>
        <w:jc w:val="center"/>
        <w:rPr>
          <w:b/>
          <w:b/>
          <w:lang w:val="hr-HR"/>
        </w:rPr>
      </w:pPr>
      <w:r>
        <w:rPr>
          <w:b/>
          <w:lang w:val="hr-HR"/>
        </w:rPr>
        <w:t>Članak 6.</w:t>
      </w:r>
    </w:p>
    <w:p>
      <w:pPr>
        <w:pStyle w:val="Normal"/>
        <w:jc w:val="both"/>
        <w:rPr>
          <w:lang w:val="hr-HR"/>
        </w:rPr>
      </w:pPr>
      <w:r>
        <w:rPr>
          <w:lang w:val="hr-HR"/>
        </w:rPr>
        <w:tab/>
        <w:t>Plakati i oglasi se mogu postavljati na oglasnoj ploči, stupovima i drugim mjestima.</w:t>
      </w:r>
    </w:p>
    <w:p>
      <w:pPr>
        <w:pStyle w:val="Normal"/>
        <w:jc w:val="both"/>
        <w:rPr>
          <w:lang w:val="hr-HR"/>
        </w:rPr>
      </w:pPr>
      <w:r>
        <w:rPr>
          <w:lang w:val="hr-HR"/>
        </w:rPr>
        <w:tab/>
        <w:t>Uredno istaknute plakate i oglase je zabranjeno prljati, oštećivati i uništavati.</w:t>
      </w:r>
    </w:p>
    <w:p>
      <w:pPr>
        <w:pStyle w:val="Normal"/>
        <w:jc w:val="both"/>
        <w:rPr>
          <w:lang w:val="hr-HR"/>
        </w:rPr>
      </w:pPr>
      <w:r>
        <w:rPr>
          <w:lang w:val="hr-HR"/>
        </w:rPr>
      </w:r>
    </w:p>
    <w:p>
      <w:pPr>
        <w:pStyle w:val="ListParagraph"/>
        <w:numPr>
          <w:ilvl w:val="0"/>
          <w:numId w:val="5"/>
        </w:numPr>
        <w:jc w:val="both"/>
        <w:rPr>
          <w:b/>
          <w:b/>
          <w:lang w:val="hr-HR"/>
        </w:rPr>
      </w:pPr>
      <w:r>
        <w:rPr>
          <w:b/>
          <w:lang w:val="hr-HR"/>
        </w:rPr>
        <w:t>Čišćenje javnih površina</w:t>
      </w:r>
    </w:p>
    <w:p>
      <w:pPr>
        <w:pStyle w:val="Normal"/>
        <w:jc w:val="center"/>
        <w:rPr>
          <w:b/>
          <w:b/>
          <w:lang w:val="hr-HR"/>
        </w:rPr>
      </w:pPr>
      <w:r>
        <w:rPr>
          <w:b/>
          <w:lang w:val="hr-HR"/>
        </w:rPr>
        <w:t>Članak 7.</w:t>
      </w:r>
    </w:p>
    <w:p>
      <w:pPr>
        <w:pStyle w:val="Normal"/>
        <w:jc w:val="both"/>
        <w:rPr>
          <w:lang w:val="hr-HR"/>
        </w:rPr>
      </w:pPr>
      <w:r>
        <w:rPr>
          <w:lang w:val="hr-HR"/>
        </w:rPr>
        <w:tab/>
        <w:t>Javnim površinama u smislu ove Odluke, smatraju se:</w:t>
      </w:r>
    </w:p>
    <w:p>
      <w:pPr>
        <w:pStyle w:val="ListParagraph"/>
        <w:numPr>
          <w:ilvl w:val="0"/>
          <w:numId w:val="3"/>
        </w:numPr>
        <w:jc w:val="both"/>
        <w:rPr>
          <w:lang w:val="hr-HR"/>
        </w:rPr>
      </w:pPr>
      <w:r>
        <w:rPr>
          <w:lang w:val="hr-HR"/>
        </w:rPr>
        <w:t>javne prometne površine, (ceste, ulice, pješačke staze, kanali površinske odvodnje, prilazi i parkirališta),</w:t>
      </w:r>
    </w:p>
    <w:p>
      <w:pPr>
        <w:pStyle w:val="ListParagraph"/>
        <w:numPr>
          <w:ilvl w:val="0"/>
          <w:numId w:val="3"/>
        </w:numPr>
        <w:jc w:val="both"/>
        <w:rPr>
          <w:lang w:val="hr-HR"/>
        </w:rPr>
      </w:pPr>
      <w:r>
        <w:rPr>
          <w:lang w:val="hr-HR"/>
        </w:rPr>
        <w:t>javne zelene površine (drvoredi, travnjaci, dječja igrališta, groblja i drugi uređeni prostori na javnim površinama),</w:t>
      </w:r>
    </w:p>
    <w:p>
      <w:pPr>
        <w:pStyle w:val="ListParagraph"/>
        <w:numPr>
          <w:ilvl w:val="0"/>
          <w:numId w:val="3"/>
        </w:numPr>
        <w:jc w:val="both"/>
        <w:rPr>
          <w:lang w:val="hr-HR"/>
        </w:rPr>
      </w:pPr>
      <w:r>
        <w:rPr>
          <w:lang w:val="hr-HR"/>
        </w:rPr>
        <w:t>ostale javne površine (autobusna stajališta, benzinske pumpe, otvoreni prijelazni prostor između i oko zgrada i sl.).</w:t>
      </w:r>
    </w:p>
    <w:p>
      <w:pPr>
        <w:pStyle w:val="Normal"/>
        <w:jc w:val="both"/>
        <w:rPr>
          <w:b/>
          <w:b/>
          <w:lang w:val="hr-HR"/>
        </w:rPr>
      </w:pPr>
      <w:r>
        <w:rPr>
          <w:b/>
          <w:lang w:val="hr-HR"/>
        </w:rPr>
      </w:r>
    </w:p>
    <w:p>
      <w:pPr>
        <w:pStyle w:val="Normal"/>
        <w:jc w:val="center"/>
        <w:rPr>
          <w:b/>
          <w:b/>
          <w:lang w:val="hr-HR"/>
        </w:rPr>
      </w:pPr>
      <w:r>
        <w:rPr>
          <w:b/>
          <w:lang w:val="hr-HR"/>
        </w:rPr>
        <w:t>Članak 8.</w:t>
      </w:r>
    </w:p>
    <w:p>
      <w:pPr>
        <w:pStyle w:val="Normal"/>
        <w:jc w:val="both"/>
        <w:rPr>
          <w:lang w:val="hr-HR"/>
        </w:rPr>
      </w:pPr>
      <w:r>
        <w:rPr>
          <w:lang w:val="hr-HR"/>
        </w:rPr>
        <w:tab/>
        <w:t>Čišćenje javnih površina obuhvaća naročito: uklanjanje blata i prašine, sakupljanje i uklanjanje smeća, otpadaka i svake druge nečistoće, pranje javnih površina te košenje i održavanje zelenih površina.</w:t>
      </w:r>
    </w:p>
    <w:p>
      <w:pPr>
        <w:pStyle w:val="Normal"/>
        <w:jc w:val="both"/>
        <w:rPr>
          <w:b/>
          <w:b/>
          <w:lang w:val="hr-HR"/>
        </w:rPr>
      </w:pPr>
      <w:r>
        <w:rPr>
          <w:b/>
          <w:lang w:val="hr-HR"/>
        </w:rPr>
      </w:r>
    </w:p>
    <w:p>
      <w:pPr>
        <w:pStyle w:val="Normal"/>
        <w:jc w:val="center"/>
        <w:rPr>
          <w:b/>
          <w:b/>
          <w:lang w:val="hr-HR"/>
        </w:rPr>
      </w:pPr>
      <w:r>
        <w:rPr>
          <w:b/>
          <w:lang w:val="hr-HR"/>
        </w:rPr>
        <w:t>Članak 9.</w:t>
      </w:r>
    </w:p>
    <w:p>
      <w:pPr>
        <w:pStyle w:val="Normal"/>
        <w:jc w:val="both"/>
        <w:rPr>
          <w:lang w:val="hr-HR"/>
        </w:rPr>
      </w:pPr>
      <w:r>
        <w:rPr>
          <w:lang w:val="hr-HR"/>
        </w:rPr>
        <w:tab/>
        <w:t>Javne površine iz članka 7. ove Odluke čiste i održavaju:</w:t>
      </w:r>
    </w:p>
    <w:p>
      <w:pPr>
        <w:pStyle w:val="ListParagraph"/>
        <w:numPr>
          <w:ilvl w:val="0"/>
          <w:numId w:val="3"/>
        </w:numPr>
        <w:jc w:val="both"/>
        <w:rPr>
          <w:lang w:val="hr-HR"/>
        </w:rPr>
      </w:pPr>
      <w:r>
        <w:rPr>
          <w:lang w:val="hr-HR"/>
        </w:rPr>
        <w:t>pješačke staze, kanale i zelene površine uz ceste, prostor ispred i oko stambenih, poslovnih i drugih objekata – vlasnici, odnosno korisnici tih objekata o svom trošku, i to u dužini objekta kojeg koriste,</w:t>
      </w:r>
    </w:p>
    <w:p>
      <w:pPr>
        <w:pStyle w:val="ListParagraph"/>
        <w:numPr>
          <w:ilvl w:val="0"/>
          <w:numId w:val="3"/>
        </w:numPr>
        <w:jc w:val="both"/>
        <w:rPr>
          <w:lang w:val="hr-HR"/>
        </w:rPr>
      </w:pPr>
      <w:r>
        <w:rPr>
          <w:lang w:val="hr-HR"/>
        </w:rPr>
        <w:t>drvorede, travnjake, dječja igrališta, groblja, nerazvrstane ceste – Općina,</w:t>
      </w:r>
    </w:p>
    <w:p>
      <w:pPr>
        <w:pStyle w:val="ListParagraph"/>
        <w:numPr>
          <w:ilvl w:val="0"/>
          <w:numId w:val="3"/>
        </w:numPr>
        <w:jc w:val="both"/>
        <w:rPr>
          <w:lang w:val="hr-HR"/>
        </w:rPr>
      </w:pPr>
      <w:r>
        <w:rPr>
          <w:lang w:val="hr-HR"/>
        </w:rPr>
        <w:t>autobusna stajališta, benzinske pumpe i sl. – pravne osobe koje gospodare ovim objektima.</w:t>
      </w:r>
    </w:p>
    <w:p>
      <w:pPr>
        <w:pStyle w:val="Normal"/>
        <w:rPr>
          <w:lang w:val="hr-HR"/>
        </w:rPr>
      </w:pPr>
      <w:r>
        <w:rPr>
          <w:lang w:val="hr-HR"/>
        </w:rPr>
      </w:r>
    </w:p>
    <w:p>
      <w:pPr>
        <w:pStyle w:val="Normal"/>
        <w:jc w:val="center"/>
        <w:rPr>
          <w:b/>
          <w:b/>
          <w:lang w:val="hr-HR"/>
        </w:rPr>
      </w:pPr>
      <w:r>
        <w:rPr>
          <w:b/>
          <w:lang w:val="hr-HR"/>
        </w:rPr>
        <w:t>Članak 10.</w:t>
      </w:r>
    </w:p>
    <w:p>
      <w:pPr>
        <w:pStyle w:val="Normal"/>
        <w:jc w:val="both"/>
        <w:rPr>
          <w:lang w:val="hr-HR"/>
        </w:rPr>
      </w:pPr>
      <w:r>
        <w:rPr>
          <w:lang w:val="hr-HR"/>
        </w:rPr>
        <w:tab/>
        <w:t>Način održavanja čistoće ostalih javnih površina utvrdiće Općinski načelnik aktom.</w:t>
      </w:r>
    </w:p>
    <w:p>
      <w:pPr>
        <w:pStyle w:val="Normal"/>
        <w:rPr>
          <w:lang w:val="hr-HR"/>
        </w:rPr>
      </w:pPr>
      <w:r>
        <w:rPr>
          <w:lang w:val="hr-HR"/>
        </w:rPr>
      </w:r>
    </w:p>
    <w:p>
      <w:pPr>
        <w:pStyle w:val="Normal"/>
        <w:jc w:val="center"/>
        <w:rPr>
          <w:b/>
          <w:b/>
          <w:lang w:val="hr-HR"/>
        </w:rPr>
      </w:pPr>
      <w:r>
        <w:rPr>
          <w:b/>
          <w:lang w:val="hr-HR"/>
        </w:rPr>
        <w:t>Članak 11.</w:t>
      </w:r>
    </w:p>
    <w:p>
      <w:pPr>
        <w:pStyle w:val="Normal"/>
        <w:jc w:val="both"/>
        <w:rPr>
          <w:lang w:val="hr-HR"/>
        </w:rPr>
      </w:pPr>
      <w:r>
        <w:rPr>
          <w:lang w:val="hr-HR"/>
        </w:rPr>
        <w:tab/>
        <w:t>Zelene površine i rastinje blizu stambenih, poslovnih i drugih objekata moraju se održavati tako da ne ometaju stanovanje.</w:t>
      </w:r>
    </w:p>
    <w:p>
      <w:pPr>
        <w:pStyle w:val="Normal"/>
        <w:jc w:val="both"/>
        <w:rPr>
          <w:lang w:val="hr-HR"/>
        </w:rPr>
      </w:pPr>
      <w:r>
        <w:rPr>
          <w:lang w:val="hr-HR"/>
        </w:rPr>
        <w:tab/>
        <w:t>Grane drveća ne smiju smetati javnoj rasvjeti i preglednosti u javnom prometu.</w:t>
      </w:r>
    </w:p>
    <w:p>
      <w:pPr>
        <w:pStyle w:val="Normal"/>
        <w:jc w:val="both"/>
        <w:rPr>
          <w:lang w:val="hr-HR"/>
        </w:rPr>
      </w:pPr>
      <w:r>
        <w:rPr>
          <w:lang w:val="hr-HR"/>
        </w:rPr>
        <w:tab/>
        <w:t>Drveće na zelenim površinama mora se redovito njegovati, uklanjati posušena stabla te odstranjivati suhe i bolesne grane.</w:t>
      </w:r>
    </w:p>
    <w:p>
      <w:pPr>
        <w:pStyle w:val="Normal"/>
        <w:rPr>
          <w:lang w:val="hr-HR"/>
        </w:rPr>
      </w:pPr>
      <w:r>
        <w:rPr>
          <w:lang w:val="hr-HR"/>
        </w:rPr>
      </w:r>
    </w:p>
    <w:p>
      <w:pPr>
        <w:pStyle w:val="Normal"/>
        <w:jc w:val="center"/>
        <w:rPr>
          <w:b/>
          <w:b/>
          <w:lang w:val="hr-HR"/>
        </w:rPr>
      </w:pPr>
      <w:r>
        <w:rPr>
          <w:b/>
          <w:lang w:val="hr-HR"/>
        </w:rPr>
        <w:t>Članak 12.</w:t>
      </w:r>
    </w:p>
    <w:p>
      <w:pPr>
        <w:pStyle w:val="Normal"/>
        <w:jc w:val="both"/>
        <w:rPr>
          <w:lang w:val="hr-HR"/>
        </w:rPr>
      </w:pPr>
      <w:r>
        <w:rPr>
          <w:lang w:val="hr-HR"/>
        </w:rPr>
        <w:tab/>
        <w:t>Drveće i grane koje smetaju zračnim vodovima u javnoj rasvjeti te vidljivosti u javnom prometu uklanjaju se na stručan način.</w:t>
      </w:r>
    </w:p>
    <w:p>
      <w:pPr>
        <w:pStyle w:val="Normal"/>
        <w:rPr>
          <w:lang w:val="hr-HR"/>
        </w:rPr>
      </w:pPr>
      <w:r>
        <w:rPr>
          <w:lang w:val="hr-HR"/>
        </w:rPr>
      </w:r>
    </w:p>
    <w:p>
      <w:pPr>
        <w:pStyle w:val="Normal"/>
        <w:jc w:val="center"/>
        <w:rPr>
          <w:b/>
          <w:b/>
          <w:lang w:val="hr-HR"/>
        </w:rPr>
      </w:pPr>
      <w:r>
        <w:rPr>
          <w:b/>
          <w:lang w:val="hr-HR"/>
        </w:rPr>
        <w:t>Članak 13.</w:t>
      </w:r>
    </w:p>
    <w:p>
      <w:pPr>
        <w:pStyle w:val="Normal"/>
        <w:jc w:val="both"/>
        <w:rPr>
          <w:lang w:val="hr-HR"/>
        </w:rPr>
      </w:pPr>
      <w:r>
        <w:rPr>
          <w:lang w:val="hr-HR"/>
        </w:rPr>
        <w:tab/>
        <w:t>Čišćenje javnih površina obavlja se svaki dan, a po potrebi i više puta na dan.</w:t>
      </w:r>
    </w:p>
    <w:p>
      <w:pPr>
        <w:pStyle w:val="Normal"/>
        <w:jc w:val="both"/>
        <w:rPr>
          <w:lang w:val="hr-HR"/>
        </w:rPr>
      </w:pPr>
      <w:r>
        <w:rPr>
          <w:lang w:val="hr-HR"/>
        </w:rPr>
      </w:r>
    </w:p>
    <w:p>
      <w:pPr>
        <w:pStyle w:val="Normal"/>
        <w:jc w:val="center"/>
        <w:rPr>
          <w:b/>
          <w:b/>
          <w:lang w:val="hr-HR"/>
        </w:rPr>
      </w:pPr>
      <w:r>
        <w:rPr>
          <w:b/>
          <w:lang w:val="hr-HR"/>
        </w:rPr>
        <w:t>Članak 14.</w:t>
      </w:r>
    </w:p>
    <w:p>
      <w:pPr>
        <w:pStyle w:val="Normal"/>
        <w:jc w:val="both"/>
        <w:rPr>
          <w:lang w:val="hr-HR"/>
        </w:rPr>
      </w:pPr>
      <w:r>
        <w:rPr>
          <w:lang w:val="hr-HR"/>
        </w:rPr>
        <w:tab/>
        <w:t>Korisnicima javnih površina zabranjeno je:</w:t>
      </w:r>
    </w:p>
    <w:p>
      <w:pPr>
        <w:pStyle w:val="ListParagraph"/>
        <w:numPr>
          <w:ilvl w:val="0"/>
          <w:numId w:val="3"/>
        </w:numPr>
        <w:jc w:val="both"/>
        <w:rPr>
          <w:lang w:val="hr-HR"/>
        </w:rPr>
      </w:pPr>
      <w:r>
        <w:rPr>
          <w:lang w:val="hr-HR"/>
        </w:rPr>
        <w:t>odlaganje smeća ili na bilo koji drugi način stvaranje nečistoće na javnim površinama,</w:t>
      </w:r>
    </w:p>
    <w:p>
      <w:pPr>
        <w:pStyle w:val="ListParagraph"/>
        <w:numPr>
          <w:ilvl w:val="0"/>
          <w:numId w:val="3"/>
        </w:numPr>
        <w:jc w:val="both"/>
        <w:rPr>
          <w:lang w:val="hr-HR"/>
        </w:rPr>
      </w:pPr>
      <w:r>
        <w:rPr>
          <w:lang w:val="hr-HR"/>
        </w:rPr>
        <w:t>šaranje ili pisanje po zidovima stambenih, poslovnih i drugih objekata,</w:t>
      </w:r>
    </w:p>
    <w:p>
      <w:pPr>
        <w:pStyle w:val="ListParagraph"/>
        <w:numPr>
          <w:ilvl w:val="0"/>
          <w:numId w:val="3"/>
        </w:numPr>
        <w:jc w:val="both"/>
        <w:rPr>
          <w:lang w:val="hr-HR"/>
        </w:rPr>
      </w:pPr>
      <w:r>
        <w:rPr>
          <w:lang w:val="hr-HR"/>
        </w:rPr>
        <w:t>puštanje stoke na ispašu na javnim zelenim površinama,</w:t>
      </w:r>
    </w:p>
    <w:p>
      <w:pPr>
        <w:pStyle w:val="ListParagraph"/>
        <w:numPr>
          <w:ilvl w:val="0"/>
          <w:numId w:val="3"/>
        </w:numPr>
        <w:jc w:val="both"/>
        <w:rPr>
          <w:lang w:val="hr-HR"/>
        </w:rPr>
      </w:pPr>
      <w:r>
        <w:rPr>
          <w:lang w:val="hr-HR"/>
        </w:rPr>
        <w:t>loženje vatre, paljenje lišća i bilo koje vrste otpada,</w:t>
      </w:r>
    </w:p>
    <w:p>
      <w:pPr>
        <w:pStyle w:val="ListParagraph"/>
        <w:numPr>
          <w:ilvl w:val="0"/>
          <w:numId w:val="3"/>
        </w:numPr>
        <w:jc w:val="both"/>
        <w:rPr>
          <w:lang w:val="hr-HR"/>
        </w:rPr>
      </w:pPr>
      <w:r>
        <w:rPr>
          <w:lang w:val="hr-HR"/>
        </w:rPr>
        <w:t>ispuštanje zagađene vode u kanale oborinske vode,</w:t>
      </w:r>
    </w:p>
    <w:p>
      <w:pPr>
        <w:pStyle w:val="ListParagraph"/>
        <w:numPr>
          <w:ilvl w:val="0"/>
          <w:numId w:val="3"/>
        </w:numPr>
        <w:jc w:val="both"/>
        <w:rPr>
          <w:lang w:val="hr-HR"/>
        </w:rPr>
      </w:pPr>
      <w:r>
        <w:rPr>
          <w:lang w:val="hr-HR"/>
        </w:rPr>
        <w:t>gađanje životinja i meta vatrenim oružjem i slično,</w:t>
      </w:r>
    </w:p>
    <w:p>
      <w:pPr>
        <w:pStyle w:val="ListParagraph"/>
        <w:numPr>
          <w:ilvl w:val="0"/>
          <w:numId w:val="3"/>
        </w:numPr>
        <w:jc w:val="both"/>
        <w:rPr>
          <w:lang w:val="hr-HR"/>
        </w:rPr>
      </w:pPr>
      <w:r>
        <w:rPr>
          <w:lang w:val="hr-HR"/>
        </w:rPr>
        <w:t>oštećivanje nasada na javnim površinama,</w:t>
      </w:r>
    </w:p>
    <w:p>
      <w:pPr>
        <w:pStyle w:val="ListParagraph"/>
        <w:numPr>
          <w:ilvl w:val="0"/>
          <w:numId w:val="3"/>
        </w:numPr>
        <w:jc w:val="both"/>
        <w:rPr>
          <w:lang w:val="hr-HR"/>
        </w:rPr>
      </w:pPr>
      <w:r>
        <w:rPr>
          <w:lang w:val="hr-HR"/>
        </w:rPr>
        <w:t>oštećivanje košara i posuda za otpad,</w:t>
      </w:r>
    </w:p>
    <w:p>
      <w:pPr>
        <w:pStyle w:val="ListParagraph"/>
        <w:numPr>
          <w:ilvl w:val="0"/>
          <w:numId w:val="3"/>
        </w:numPr>
        <w:jc w:val="both"/>
        <w:rPr>
          <w:lang w:val="hr-HR"/>
        </w:rPr>
      </w:pPr>
      <w:r>
        <w:rPr>
          <w:lang w:val="hr-HR"/>
        </w:rPr>
        <w:t>šaranje po tuđem zidu bez odobrenja vlasnika te šaranje po stadionu, ljetnjoj pozornici i tome slično,</w:t>
      </w:r>
    </w:p>
    <w:p>
      <w:pPr>
        <w:pStyle w:val="ListParagraph"/>
        <w:numPr>
          <w:ilvl w:val="0"/>
          <w:numId w:val="3"/>
        </w:numPr>
        <w:jc w:val="both"/>
        <w:rPr>
          <w:lang w:val="hr-HR"/>
        </w:rPr>
      </w:pPr>
      <w:r>
        <w:rPr>
          <w:lang w:val="hr-HR"/>
        </w:rPr>
        <w:t>paljenje otpada,</w:t>
      </w:r>
    </w:p>
    <w:p>
      <w:pPr>
        <w:pStyle w:val="ListParagraph"/>
        <w:numPr>
          <w:ilvl w:val="0"/>
          <w:numId w:val="3"/>
        </w:numPr>
        <w:jc w:val="both"/>
        <w:rPr>
          <w:lang w:val="hr-HR"/>
        </w:rPr>
      </w:pPr>
      <w:r>
        <w:rPr>
          <w:lang w:val="hr-HR"/>
        </w:rPr>
        <w:t>parkiranje motornih vozila i priključne mehanizacije na javnim površinama opće namjene i pješačkim stazama te vožnja istim,</w:t>
      </w:r>
    </w:p>
    <w:p>
      <w:pPr>
        <w:pStyle w:val="ListParagraph"/>
        <w:numPr>
          <w:ilvl w:val="0"/>
          <w:numId w:val="3"/>
        </w:numPr>
        <w:jc w:val="both"/>
        <w:rPr>
          <w:lang w:val="hr-HR"/>
        </w:rPr>
      </w:pPr>
      <w:r>
        <w:rPr>
          <w:lang w:val="hr-HR"/>
        </w:rPr>
        <w:t>uklanjanje ukrasnog drveća (borovi, jele, čempresi, tuje i slično) s javnih površina, bez prethodnog odobrenja Općinskog načelnika,</w:t>
      </w:r>
    </w:p>
    <w:p>
      <w:pPr>
        <w:pStyle w:val="ListParagraph"/>
        <w:numPr>
          <w:ilvl w:val="0"/>
          <w:numId w:val="3"/>
        </w:numPr>
        <w:jc w:val="both"/>
        <w:rPr>
          <w:lang w:val="hr-HR"/>
        </w:rPr>
      </w:pPr>
      <w:r>
        <w:rPr>
          <w:lang w:val="hr-HR"/>
        </w:rPr>
        <w:t>raskopavanje, prekopavanje javne površine ili bilo kakvo drugo oštećenje javne površine, suprotno njenoj namjeni,</w:t>
      </w:r>
    </w:p>
    <w:p>
      <w:pPr>
        <w:pStyle w:val="ListParagraph"/>
        <w:numPr>
          <w:ilvl w:val="0"/>
          <w:numId w:val="3"/>
        </w:numPr>
        <w:jc w:val="both"/>
        <w:rPr>
          <w:lang w:val="hr-HR"/>
        </w:rPr>
      </w:pPr>
      <w:r>
        <w:rPr>
          <w:lang w:val="hr-HR"/>
        </w:rPr>
        <w:t>zadržavanje građevinskog, ogrjevnog i drugog materijala te strojeva, uređaja, naprava na javnoj površini duže od trideset dana, osim ako Općinski načelnik odobri držanje istih u dužem roku ako postoje opravdani razlozi,</w:t>
      </w:r>
    </w:p>
    <w:p>
      <w:pPr>
        <w:pStyle w:val="ListParagraph"/>
        <w:numPr>
          <w:ilvl w:val="0"/>
          <w:numId w:val="3"/>
        </w:numPr>
        <w:jc w:val="both"/>
        <w:rPr>
          <w:lang w:val="hr-HR"/>
        </w:rPr>
      </w:pPr>
      <w:r>
        <w:rPr>
          <w:lang w:val="hr-HR"/>
        </w:rPr>
        <w:t>zatrpavanje odvodnih jaraka i otvora ispod pista,</w:t>
      </w:r>
    </w:p>
    <w:p>
      <w:pPr>
        <w:pStyle w:val="ListParagraph"/>
        <w:numPr>
          <w:ilvl w:val="0"/>
          <w:numId w:val="3"/>
        </w:numPr>
        <w:jc w:val="both"/>
        <w:rPr>
          <w:lang w:val="hr-HR"/>
        </w:rPr>
      </w:pPr>
      <w:r>
        <w:rPr>
          <w:lang w:val="hr-HR"/>
        </w:rPr>
        <w:t>prskanje odvodnih jaraka totalnim herbicidom,</w:t>
      </w:r>
    </w:p>
    <w:p>
      <w:pPr>
        <w:pStyle w:val="ListParagraph"/>
        <w:numPr>
          <w:ilvl w:val="0"/>
          <w:numId w:val="3"/>
        </w:numPr>
        <w:jc w:val="both"/>
        <w:rPr>
          <w:lang w:val="hr-HR"/>
        </w:rPr>
      </w:pPr>
      <w:r>
        <w:rPr>
          <w:lang w:val="hr-HR"/>
        </w:rPr>
        <w:t>i ostale srodne, nedozvoljene radnje, istog ili većeg intenziteta kršenja od propisanih zabrana u prethodnim alinejama ovog članka.</w:t>
      </w:r>
    </w:p>
    <w:p>
      <w:pPr>
        <w:pStyle w:val="Normal"/>
        <w:jc w:val="both"/>
        <w:rPr>
          <w:lang w:val="hr-HR"/>
        </w:rPr>
      </w:pPr>
      <w:r>
        <w:rPr>
          <w:lang w:val="hr-HR"/>
        </w:rPr>
        <w:tab/>
        <w:t>Iznimno od odredbe prethodnog stavka alineje 11. dopušteno je zaustavljanje i parkiranje motornih vozila subjektima, kojima je povjereno uređenje i održavanje javnih površina.</w:t>
      </w:r>
    </w:p>
    <w:p>
      <w:pPr>
        <w:pStyle w:val="Normal"/>
        <w:jc w:val="both"/>
        <w:rPr>
          <w:lang w:val="hr-HR"/>
        </w:rPr>
      </w:pPr>
      <w:r>
        <w:rPr>
          <w:lang w:val="hr-HR"/>
        </w:rPr>
      </w:r>
    </w:p>
    <w:p>
      <w:pPr>
        <w:pStyle w:val="Normal"/>
        <w:jc w:val="center"/>
        <w:rPr>
          <w:b/>
          <w:b/>
          <w:lang w:val="hr-HR"/>
        </w:rPr>
      </w:pPr>
      <w:r>
        <w:rPr>
          <w:b/>
          <w:lang w:val="hr-HR"/>
        </w:rPr>
        <w:t>Članak 15.</w:t>
      </w:r>
    </w:p>
    <w:p>
      <w:pPr>
        <w:pStyle w:val="Normal"/>
        <w:jc w:val="both"/>
        <w:rPr>
          <w:lang w:val="hr-HR"/>
        </w:rPr>
      </w:pPr>
      <w:r>
        <w:rPr>
          <w:lang w:val="hr-HR"/>
        </w:rPr>
        <w:tab/>
        <w:t>Stabla, živice i drugo zelenilo uz nerazvrstane ceste i javne prometne površine se moraju održavati ne ometajući prolaz pješaka i vozila, sigurnost i vidljivost odnosno preglednost u prometu.</w:t>
      </w:r>
    </w:p>
    <w:p>
      <w:pPr>
        <w:pStyle w:val="Normal"/>
        <w:jc w:val="both"/>
        <w:rPr>
          <w:lang w:val="hr-HR"/>
        </w:rPr>
      </w:pPr>
      <w:r>
        <w:rPr>
          <w:lang w:val="hr-HR"/>
        </w:rPr>
        <w:tab/>
        <w:t>Komunalni redar će narediti vlasniku odnosno korisniku zemljišta, radove iz stavka 1. ovog članka (uklanjanje živice, osušenog ili bolesnog stabla, ili granja).</w:t>
      </w:r>
    </w:p>
    <w:p>
      <w:pPr>
        <w:pStyle w:val="Normal"/>
        <w:jc w:val="both"/>
        <w:rPr>
          <w:lang w:val="hr-HR"/>
        </w:rPr>
      </w:pPr>
      <w:r>
        <w:rPr>
          <w:lang w:val="hr-HR"/>
        </w:rPr>
        <w:tab/>
        <w:t>Ukoliko vlasnik odnosno korisnik ne izvrši naređenu mjeru isto će izvršiti treća osoba, ali na račun vlasnika odnosno korisnika zemljišta.</w:t>
      </w:r>
    </w:p>
    <w:p>
      <w:pPr>
        <w:pStyle w:val="Normal"/>
        <w:jc w:val="both"/>
        <w:rPr>
          <w:lang w:val="hr-HR"/>
        </w:rPr>
      </w:pPr>
      <w:r>
        <w:rPr>
          <w:lang w:val="hr-HR"/>
        </w:rPr>
      </w:r>
    </w:p>
    <w:p>
      <w:pPr>
        <w:pStyle w:val="Normal"/>
        <w:jc w:val="center"/>
        <w:rPr>
          <w:b/>
          <w:b/>
          <w:lang w:val="hr-HR"/>
        </w:rPr>
      </w:pPr>
      <w:r>
        <w:rPr>
          <w:b/>
          <w:lang w:val="hr-HR"/>
        </w:rPr>
        <w:t xml:space="preserve">Članak 16. </w:t>
      </w:r>
    </w:p>
    <w:p>
      <w:pPr>
        <w:pStyle w:val="Normal"/>
        <w:rPr>
          <w:lang w:val="hr-HR"/>
        </w:rPr>
      </w:pPr>
      <w:r>
        <w:rPr>
          <w:b/>
          <w:lang w:val="hr-HR"/>
        </w:rPr>
        <w:tab/>
      </w:r>
      <w:r>
        <w:rPr>
          <w:lang w:val="hr-HR"/>
        </w:rPr>
        <w:t>Drva se moraju ukloniti s javne površine u roku od 30 dana, a ugljen u roku od 24 sata.</w:t>
      </w:r>
    </w:p>
    <w:p>
      <w:pPr>
        <w:pStyle w:val="Normal"/>
        <w:jc w:val="both"/>
        <w:rPr>
          <w:lang w:val="hr-HR"/>
        </w:rPr>
      </w:pPr>
      <w:r>
        <w:rPr>
          <w:lang w:val="hr-HR"/>
        </w:rPr>
      </w:r>
    </w:p>
    <w:p>
      <w:pPr>
        <w:pStyle w:val="ListParagraph"/>
        <w:numPr>
          <w:ilvl w:val="0"/>
          <w:numId w:val="5"/>
        </w:numPr>
        <w:jc w:val="both"/>
        <w:rPr>
          <w:b/>
          <w:b/>
          <w:lang w:val="hr-HR"/>
        </w:rPr>
      </w:pPr>
      <w:r>
        <w:rPr>
          <w:b/>
          <w:lang w:val="hr-HR"/>
        </w:rPr>
        <w:t>Skupljanje, odvoz i postupanje sa sakupljenim komunalnim otpadom</w:t>
      </w:r>
    </w:p>
    <w:p>
      <w:pPr>
        <w:pStyle w:val="Normal"/>
        <w:jc w:val="center"/>
        <w:rPr>
          <w:b/>
          <w:b/>
          <w:lang w:val="hr-HR"/>
        </w:rPr>
      </w:pPr>
      <w:r>
        <w:rPr>
          <w:b/>
          <w:lang w:val="hr-HR"/>
        </w:rPr>
        <w:t>Članak 17.</w:t>
      </w:r>
    </w:p>
    <w:p>
      <w:pPr>
        <w:pStyle w:val="Normal"/>
        <w:jc w:val="both"/>
        <w:rPr>
          <w:lang w:val="hr-HR"/>
        </w:rPr>
      </w:pPr>
      <w:r>
        <w:rPr>
          <w:lang w:val="hr-HR"/>
        </w:rPr>
        <w:tab/>
        <w:t>Komunalnim otpadom u smislu ove Odluke smatra se:</w:t>
      </w:r>
    </w:p>
    <w:p>
      <w:pPr>
        <w:pStyle w:val="ListParagraph"/>
        <w:numPr>
          <w:ilvl w:val="0"/>
          <w:numId w:val="3"/>
        </w:numPr>
        <w:jc w:val="both"/>
        <w:rPr>
          <w:lang w:val="hr-HR"/>
        </w:rPr>
      </w:pPr>
      <w:r>
        <w:rPr>
          <w:lang w:val="hr-HR"/>
        </w:rPr>
        <w:t>kućno smeće (ostaci hrane, odjeće, obuće i slično),</w:t>
      </w:r>
    </w:p>
    <w:p>
      <w:pPr>
        <w:pStyle w:val="ListParagraph"/>
        <w:numPr>
          <w:ilvl w:val="0"/>
          <w:numId w:val="3"/>
        </w:numPr>
        <w:jc w:val="both"/>
        <w:rPr>
          <w:lang w:val="hr-HR"/>
        </w:rPr>
      </w:pPr>
      <w:r>
        <w:rPr>
          <w:lang w:val="hr-HR"/>
        </w:rPr>
        <w:t>glomazni otpad (kućni uređaji i strojevi i njihovi dijelovi, dijelovi vozila, gume, ostaci građevinskog, ogrjevnog materijala i slično),</w:t>
      </w:r>
    </w:p>
    <w:p>
      <w:pPr>
        <w:pStyle w:val="ListParagraph"/>
        <w:numPr>
          <w:ilvl w:val="0"/>
          <w:numId w:val="3"/>
        </w:numPr>
        <w:jc w:val="both"/>
        <w:rPr>
          <w:lang w:val="hr-HR"/>
        </w:rPr>
      </w:pPr>
      <w:r>
        <w:rPr>
          <w:lang w:val="hr-HR"/>
        </w:rPr>
        <w:t>drugo što nije kućno smeće niti tehnološki otpad.</w:t>
      </w:r>
    </w:p>
    <w:p>
      <w:pPr>
        <w:pStyle w:val="Normal"/>
        <w:rPr>
          <w:lang w:val="hr-HR"/>
        </w:rPr>
      </w:pPr>
      <w:r>
        <w:rPr>
          <w:lang w:val="hr-HR"/>
        </w:rPr>
      </w:r>
    </w:p>
    <w:p>
      <w:pPr>
        <w:pStyle w:val="Normal"/>
        <w:jc w:val="center"/>
        <w:rPr>
          <w:b/>
          <w:b/>
          <w:lang w:val="hr-HR"/>
        </w:rPr>
      </w:pPr>
      <w:r>
        <w:rPr>
          <w:b/>
          <w:lang w:val="hr-HR"/>
        </w:rPr>
        <w:t>Članak 18.</w:t>
      </w:r>
    </w:p>
    <w:p>
      <w:pPr>
        <w:pStyle w:val="Normal"/>
        <w:jc w:val="both"/>
        <w:rPr>
          <w:lang w:val="hr-HR"/>
        </w:rPr>
      </w:pPr>
      <w:r>
        <w:rPr>
          <w:lang w:val="hr-HR"/>
        </w:rPr>
        <w:tab/>
        <w:t>Komunalni otpad stambenih, poslovnih i drugih objekata odvozi fizička ili pravna osoba, pojedinačno ili organizirano, prevoznim sredstvima u vlasništvu građana odnosno pravne osobe i odlaže na predviđenu lokaciju za odlaganje smeća (deponiju).</w:t>
      </w:r>
    </w:p>
    <w:p>
      <w:pPr>
        <w:pStyle w:val="Normal"/>
        <w:jc w:val="both"/>
        <w:rPr>
          <w:lang w:val="hr-HR"/>
        </w:rPr>
      </w:pPr>
      <w:r>
        <w:rPr>
          <w:lang w:val="hr-HR"/>
        </w:rPr>
      </w:r>
    </w:p>
    <w:p>
      <w:pPr>
        <w:pStyle w:val="Normal"/>
        <w:jc w:val="center"/>
        <w:rPr>
          <w:b/>
          <w:b/>
          <w:lang w:val="hr-HR"/>
        </w:rPr>
      </w:pPr>
      <w:r>
        <w:rPr>
          <w:b/>
          <w:lang w:val="hr-HR"/>
        </w:rPr>
        <w:t>Članak 19.</w:t>
      </w:r>
    </w:p>
    <w:p>
      <w:pPr>
        <w:pStyle w:val="Normal"/>
        <w:jc w:val="both"/>
        <w:rPr>
          <w:lang w:val="hr-HR"/>
        </w:rPr>
      </w:pPr>
      <w:r>
        <w:rPr>
          <w:lang w:val="hr-HR"/>
        </w:rPr>
        <w:tab/>
        <w:t>Komunalni otpad se skuplja u prikladnim vrećama ili posudama, a odvozi se istresanjem u vozilo ili ubacivanjem vreća u vozilo.</w:t>
      </w:r>
    </w:p>
    <w:p>
      <w:pPr>
        <w:pStyle w:val="Normal"/>
        <w:jc w:val="both"/>
        <w:rPr>
          <w:lang w:val="hr-HR"/>
        </w:rPr>
      </w:pPr>
      <w:r>
        <w:rPr>
          <w:lang w:val="hr-HR"/>
        </w:rPr>
        <w:tab/>
      </w:r>
    </w:p>
    <w:p>
      <w:pPr>
        <w:pStyle w:val="Normal"/>
        <w:jc w:val="center"/>
        <w:rPr>
          <w:b/>
          <w:b/>
          <w:lang w:val="hr-HR"/>
        </w:rPr>
      </w:pPr>
      <w:r>
        <w:rPr>
          <w:b/>
          <w:lang w:val="hr-HR"/>
        </w:rPr>
        <w:t>Članak 20.</w:t>
      </w:r>
    </w:p>
    <w:p>
      <w:pPr>
        <w:pStyle w:val="Normal"/>
        <w:jc w:val="both"/>
        <w:rPr>
          <w:lang w:val="hr-HR"/>
        </w:rPr>
      </w:pPr>
      <w:r>
        <w:rPr>
          <w:lang w:val="hr-HR"/>
        </w:rPr>
        <w:tab/>
        <w:t>Postavljanje specijalnih posuda za smeće (papir, staklo, aluminijum i slično) odobrava Općinski načelnik.</w:t>
      </w:r>
    </w:p>
    <w:p>
      <w:pPr>
        <w:pStyle w:val="Normal"/>
        <w:rPr>
          <w:lang w:val="hr-HR"/>
        </w:rPr>
      </w:pPr>
      <w:r>
        <w:rPr>
          <w:lang w:val="hr-HR"/>
        </w:rPr>
      </w:r>
    </w:p>
    <w:p>
      <w:pPr>
        <w:pStyle w:val="Normal"/>
        <w:jc w:val="center"/>
        <w:rPr>
          <w:b/>
          <w:b/>
          <w:lang w:val="hr-HR"/>
        </w:rPr>
      </w:pPr>
      <w:r>
        <w:rPr>
          <w:b/>
          <w:lang w:val="hr-HR"/>
        </w:rPr>
        <w:t>Članak 21.</w:t>
      </w:r>
    </w:p>
    <w:p>
      <w:pPr>
        <w:pStyle w:val="Normal"/>
        <w:jc w:val="both"/>
        <w:rPr>
          <w:lang w:val="hr-HR"/>
        </w:rPr>
      </w:pPr>
      <w:r>
        <w:rPr>
          <w:lang w:val="hr-HR"/>
        </w:rPr>
        <w:tab/>
        <w:t>Odvoz komunalnog otpada je obvezan.</w:t>
      </w:r>
    </w:p>
    <w:p>
      <w:pPr>
        <w:pStyle w:val="Normal"/>
        <w:jc w:val="both"/>
        <w:rPr>
          <w:lang w:val="hr-HR"/>
        </w:rPr>
      </w:pPr>
      <w:r>
        <w:rPr>
          <w:lang w:val="hr-HR"/>
        </w:rPr>
        <w:tab/>
        <w:t>Zabranjeno je komunalni otpad uništavati paljenjem ili na drugi nedozvoljen način.</w:t>
      </w:r>
    </w:p>
    <w:p>
      <w:pPr>
        <w:pStyle w:val="ListParagraph"/>
        <w:numPr>
          <w:ilvl w:val="0"/>
          <w:numId w:val="5"/>
        </w:numPr>
        <w:rPr>
          <w:b/>
          <w:b/>
          <w:lang w:val="hr-HR"/>
        </w:rPr>
      </w:pPr>
      <w:r>
        <w:rPr>
          <w:b/>
          <w:lang w:val="hr-HR"/>
        </w:rPr>
        <w:t>Javna rasvjeta</w:t>
      </w:r>
    </w:p>
    <w:p>
      <w:pPr>
        <w:pStyle w:val="Normal"/>
        <w:jc w:val="center"/>
        <w:rPr>
          <w:b/>
          <w:b/>
          <w:lang w:val="hr-HR"/>
        </w:rPr>
      </w:pPr>
      <w:r>
        <w:rPr>
          <w:b/>
          <w:lang w:val="hr-HR"/>
        </w:rPr>
        <w:t>Članak 22.</w:t>
      </w:r>
    </w:p>
    <w:p>
      <w:pPr>
        <w:pStyle w:val="Normal"/>
        <w:jc w:val="both"/>
        <w:rPr>
          <w:lang w:val="hr-HR"/>
        </w:rPr>
      </w:pPr>
      <w:r>
        <w:rPr>
          <w:lang w:val="hr-HR"/>
        </w:rPr>
        <w:tab/>
        <w:t>Javne prometne površine, pješačke staze i drugi glavni putevi na javnim površinama moraju biti osvjetljeni.</w:t>
      </w:r>
    </w:p>
    <w:p>
      <w:pPr>
        <w:pStyle w:val="Normal"/>
        <w:jc w:val="both"/>
        <w:rPr>
          <w:lang w:val="hr-HR"/>
        </w:rPr>
      </w:pPr>
      <w:r>
        <w:rPr>
          <w:lang w:val="hr-HR"/>
        </w:rPr>
      </w:r>
    </w:p>
    <w:p>
      <w:pPr>
        <w:pStyle w:val="Normal"/>
        <w:jc w:val="center"/>
        <w:rPr>
          <w:b/>
          <w:b/>
          <w:lang w:val="hr-HR"/>
        </w:rPr>
      </w:pPr>
      <w:r>
        <w:rPr>
          <w:b/>
          <w:lang w:val="hr-HR"/>
        </w:rPr>
        <w:t>Članak 23.</w:t>
      </w:r>
    </w:p>
    <w:p>
      <w:pPr>
        <w:pStyle w:val="Normal"/>
        <w:jc w:val="both"/>
        <w:rPr>
          <w:lang w:val="hr-HR"/>
        </w:rPr>
      </w:pPr>
      <w:r>
        <w:rPr>
          <w:lang w:val="hr-HR"/>
        </w:rPr>
        <w:tab/>
        <w:t>Zabranjeno je oštećivati i uništavati objekte, uređaje i opremu javne rasvjete.</w:t>
      </w:r>
    </w:p>
    <w:p>
      <w:pPr>
        <w:pStyle w:val="Normal"/>
        <w:jc w:val="both"/>
        <w:rPr>
          <w:lang w:val="hr-HR"/>
        </w:rPr>
      </w:pPr>
      <w:r>
        <w:rPr>
          <w:lang w:val="hr-HR"/>
        </w:rPr>
        <w:tab/>
        <w:t>Ne smije se na objekte i opremu javne rasvjete postavljati oglase, obavijesti, reklame i slične predmete.</w:t>
      </w:r>
    </w:p>
    <w:p>
      <w:pPr>
        <w:pStyle w:val="Normal"/>
        <w:rPr>
          <w:lang w:val="hr-HR"/>
        </w:rPr>
      </w:pPr>
      <w:r>
        <w:rPr>
          <w:lang w:val="hr-HR"/>
        </w:rPr>
      </w:r>
    </w:p>
    <w:p>
      <w:pPr>
        <w:pStyle w:val="Normal"/>
        <w:jc w:val="center"/>
        <w:rPr>
          <w:b/>
          <w:b/>
          <w:lang w:val="hr-HR"/>
        </w:rPr>
      </w:pPr>
      <w:r>
        <w:rPr>
          <w:b/>
          <w:lang w:val="hr-HR"/>
        </w:rPr>
        <w:t>Članak 24.</w:t>
      </w:r>
    </w:p>
    <w:p>
      <w:pPr>
        <w:pStyle w:val="Normal"/>
        <w:jc w:val="both"/>
        <w:rPr>
          <w:lang w:val="hr-HR"/>
        </w:rPr>
      </w:pPr>
      <w:r>
        <w:rPr>
          <w:lang w:val="hr-HR"/>
        </w:rPr>
        <w:tab/>
        <w:t>Javna rasvjeta, uređaji i oprema javne rasvjete moraju biti funkcionalni, redovito se održavati te udovoljavati standardima i propisima.</w:t>
      </w:r>
    </w:p>
    <w:p>
      <w:pPr>
        <w:pStyle w:val="Normal"/>
        <w:jc w:val="both"/>
        <w:rPr>
          <w:lang w:val="hr-HR"/>
        </w:rPr>
      </w:pPr>
      <w:r>
        <w:rPr>
          <w:lang w:val="hr-HR"/>
        </w:rPr>
        <w:tab/>
        <w:t>Javnom rasvjetom upravlja te objekte i uređaje javne rasvjete održava HEP.</w:t>
      </w:r>
    </w:p>
    <w:p>
      <w:pPr>
        <w:pStyle w:val="Normal"/>
        <w:jc w:val="both"/>
        <w:rPr>
          <w:lang w:val="hr-HR"/>
        </w:rPr>
      </w:pPr>
      <w:r>
        <w:rPr>
          <w:lang w:val="hr-HR"/>
        </w:rPr>
      </w:r>
    </w:p>
    <w:p>
      <w:pPr>
        <w:pStyle w:val="ListParagraph"/>
        <w:numPr>
          <w:ilvl w:val="0"/>
          <w:numId w:val="5"/>
        </w:numPr>
        <w:jc w:val="both"/>
        <w:rPr>
          <w:b/>
          <w:b/>
          <w:lang w:val="hr-HR"/>
        </w:rPr>
      </w:pPr>
      <w:r>
        <w:rPr>
          <w:b/>
          <w:lang w:val="hr-HR"/>
        </w:rPr>
        <w:t>Javni zahodi</w:t>
      </w:r>
    </w:p>
    <w:p>
      <w:pPr>
        <w:pStyle w:val="Normal"/>
        <w:jc w:val="center"/>
        <w:rPr>
          <w:b/>
          <w:b/>
          <w:lang w:val="hr-HR"/>
        </w:rPr>
      </w:pPr>
      <w:r>
        <w:rPr>
          <w:b/>
          <w:lang w:val="hr-HR"/>
        </w:rPr>
        <w:t>Članak 25.</w:t>
      </w:r>
    </w:p>
    <w:p>
      <w:pPr>
        <w:pStyle w:val="Normal"/>
        <w:jc w:val="both"/>
        <w:rPr>
          <w:lang w:val="hr-HR"/>
        </w:rPr>
      </w:pPr>
      <w:r>
        <w:rPr>
          <w:b/>
          <w:lang w:val="hr-HR"/>
        </w:rPr>
        <w:tab/>
      </w:r>
      <w:r>
        <w:rPr>
          <w:lang w:val="hr-HR"/>
        </w:rPr>
        <w:t>Javni zahodi grade se i postavljaju po odobrenju komunalnog redara, na odgovarajućim mjestima javnih površina na kojima se građani okupljaju i duže zadržavaju.</w:t>
      </w:r>
    </w:p>
    <w:p>
      <w:pPr>
        <w:pStyle w:val="Normal"/>
        <w:jc w:val="both"/>
        <w:rPr>
          <w:lang w:val="hr-HR"/>
        </w:rPr>
      </w:pPr>
      <w:r>
        <w:rPr>
          <w:lang w:val="hr-HR"/>
        </w:rPr>
        <w:tab/>
        <w:t xml:space="preserve">Javni zahodi moraju ispunjavati odgovarajuće higijenske i tehničke uvjete, a vlasnik, odnosno ovlaštena pravna ili fizička osoba koja ih održava, mora ih održavati u urednom i ispravnom stanju. </w:t>
      </w:r>
    </w:p>
    <w:p>
      <w:pPr>
        <w:pStyle w:val="Normal"/>
        <w:jc w:val="both"/>
        <w:rPr>
          <w:lang w:val="hr-HR"/>
        </w:rPr>
      </w:pPr>
      <w:r>
        <w:rPr>
          <w:lang w:val="hr-HR"/>
        </w:rPr>
        <w:tab/>
        <w:t xml:space="preserve">Javne zahode treba graditi i postavljati na način da ih mogu koristiti osobe s posebnim potrebama. </w:t>
      </w:r>
    </w:p>
    <w:p>
      <w:pPr>
        <w:pStyle w:val="Normal"/>
        <w:jc w:val="both"/>
        <w:rPr>
          <w:lang w:val="hr-HR"/>
        </w:rPr>
      </w:pPr>
      <w:r>
        <w:rPr>
          <w:lang w:val="hr-HR"/>
        </w:rPr>
      </w:r>
    </w:p>
    <w:p>
      <w:pPr>
        <w:pStyle w:val="ListParagraph"/>
        <w:numPr>
          <w:ilvl w:val="0"/>
          <w:numId w:val="5"/>
        </w:numPr>
        <w:jc w:val="both"/>
        <w:rPr>
          <w:b/>
          <w:b/>
          <w:lang w:val="hr-HR"/>
        </w:rPr>
      </w:pPr>
      <w:r>
        <w:rPr>
          <w:b/>
          <w:lang w:val="hr-HR"/>
        </w:rPr>
        <w:t>HPT usluge</w:t>
      </w:r>
    </w:p>
    <w:p>
      <w:pPr>
        <w:pStyle w:val="Normal"/>
        <w:jc w:val="center"/>
        <w:rPr>
          <w:b/>
          <w:b/>
          <w:lang w:val="hr-HR"/>
        </w:rPr>
      </w:pPr>
      <w:r>
        <w:rPr>
          <w:b/>
          <w:lang w:val="hr-HR"/>
        </w:rPr>
        <w:t>Članak 26.</w:t>
      </w:r>
    </w:p>
    <w:p>
      <w:pPr>
        <w:pStyle w:val="Normal"/>
        <w:jc w:val="both"/>
        <w:rPr>
          <w:lang w:val="hr-HR"/>
        </w:rPr>
      </w:pPr>
      <w:r>
        <w:rPr>
          <w:lang w:val="hr-HR"/>
        </w:rPr>
        <w:tab/>
        <w:t>Poštanski sandučići, javne telefonske govornice i bankomati se postavljaju po odobrenju nadležnog tijela, na mjestima na kojima se građani okupljaju i zadržavaju te na zgradi pošte, na način da ih mogu koristiti osobe s posebnim potrebama.</w:t>
      </w:r>
    </w:p>
    <w:p>
      <w:pPr>
        <w:pStyle w:val="Normal"/>
        <w:jc w:val="both"/>
        <w:rPr>
          <w:lang w:val="hr-HR"/>
        </w:rPr>
      </w:pPr>
      <w:r>
        <w:rPr>
          <w:lang w:val="hr-HR"/>
        </w:rPr>
        <w:tab/>
        <w:t>Poštanske sandučiće i javne telefonske govornice postavlja i održava HPT po odobrenju nadležnog tijela.</w:t>
      </w:r>
    </w:p>
    <w:p>
      <w:pPr>
        <w:pStyle w:val="Normal"/>
        <w:rPr>
          <w:lang w:val="hr-HR"/>
        </w:rPr>
      </w:pPr>
      <w:r>
        <w:rPr>
          <w:lang w:val="hr-HR"/>
        </w:rPr>
      </w:r>
    </w:p>
    <w:p>
      <w:pPr>
        <w:pStyle w:val="Normal"/>
        <w:jc w:val="center"/>
        <w:rPr>
          <w:b/>
          <w:b/>
          <w:lang w:val="hr-HR"/>
        </w:rPr>
      </w:pPr>
      <w:r>
        <w:rPr>
          <w:b/>
          <w:lang w:val="hr-HR"/>
        </w:rPr>
        <w:t>Članak 27.</w:t>
      </w:r>
    </w:p>
    <w:p>
      <w:pPr>
        <w:pStyle w:val="Normal"/>
        <w:jc w:val="both"/>
        <w:rPr>
          <w:lang w:val="hr-HR"/>
        </w:rPr>
      </w:pPr>
      <w:r>
        <w:rPr>
          <w:lang w:val="hr-HR"/>
        </w:rPr>
        <w:tab/>
        <w:t>Zabranjeno je na poštanske sandučiće, javne telefonske govornice i bankomate postavljati oglase, obavijesti, reklame i slične predmete.</w:t>
      </w:r>
    </w:p>
    <w:p>
      <w:pPr>
        <w:pStyle w:val="Normal"/>
        <w:jc w:val="both"/>
        <w:rPr>
          <w:lang w:val="hr-HR"/>
        </w:rPr>
      </w:pPr>
      <w:r>
        <w:rPr>
          <w:lang w:val="hr-HR"/>
        </w:rPr>
        <w:tab/>
      </w:r>
    </w:p>
    <w:p>
      <w:pPr>
        <w:pStyle w:val="Normal"/>
        <w:jc w:val="center"/>
        <w:rPr>
          <w:b/>
          <w:b/>
          <w:lang w:val="hr-HR"/>
        </w:rPr>
      </w:pPr>
      <w:r>
        <w:rPr>
          <w:b/>
          <w:lang w:val="hr-HR"/>
        </w:rPr>
        <w:t>Članak 28.</w:t>
      </w:r>
    </w:p>
    <w:p>
      <w:pPr>
        <w:pStyle w:val="Normal"/>
        <w:rPr>
          <w:lang w:val="hr-HR"/>
        </w:rPr>
      </w:pPr>
      <w:r>
        <w:rPr>
          <w:lang w:val="hr-HR"/>
        </w:rPr>
        <w:tab/>
        <w:t>Zabranjeno je poštanske sandučiće, telefonske govornice, bankomate, klupe i košare za otpatke uništavati, oštećivati, otuđivati, po njima šarati, crtati ili ih na sličan način prljati.</w:t>
      </w:r>
    </w:p>
    <w:p>
      <w:pPr>
        <w:pStyle w:val="Normal"/>
        <w:rPr>
          <w:lang w:val="hr-HR"/>
        </w:rPr>
      </w:pPr>
      <w:r>
        <w:rPr>
          <w:lang w:val="hr-HR"/>
        </w:rPr>
      </w:r>
    </w:p>
    <w:p>
      <w:pPr>
        <w:pStyle w:val="ListParagraph"/>
        <w:numPr>
          <w:ilvl w:val="0"/>
          <w:numId w:val="5"/>
        </w:numPr>
        <w:rPr>
          <w:b/>
          <w:b/>
          <w:lang w:val="hr-HR"/>
        </w:rPr>
      </w:pPr>
      <w:r>
        <w:rPr>
          <w:b/>
          <w:lang w:val="hr-HR"/>
        </w:rPr>
        <w:t>Čišćenje snijega i leda</w:t>
      </w:r>
    </w:p>
    <w:p>
      <w:pPr>
        <w:pStyle w:val="Normal"/>
        <w:jc w:val="center"/>
        <w:rPr>
          <w:b/>
          <w:b/>
          <w:lang w:val="hr-HR"/>
        </w:rPr>
      </w:pPr>
      <w:r>
        <w:rPr>
          <w:b/>
          <w:lang w:val="hr-HR"/>
        </w:rPr>
        <w:t>Članak 29.</w:t>
      </w:r>
    </w:p>
    <w:p>
      <w:pPr>
        <w:pStyle w:val="Normal"/>
        <w:jc w:val="both"/>
        <w:rPr>
          <w:lang w:val="hr-HR"/>
        </w:rPr>
      </w:pPr>
      <w:r>
        <w:rPr>
          <w:lang w:val="hr-HR"/>
        </w:rPr>
        <w:tab/>
        <w:t>Vlasnici i korisnici stambenih, poslovnih i drugih objekata ili zemljišta uz pješačke staze ili druge javne površine, kojima se kreću pješaci, obvezni su čistiti i uklanjati snijeg i led s tih površina.</w:t>
      </w:r>
    </w:p>
    <w:p>
      <w:pPr>
        <w:pStyle w:val="Normal"/>
        <w:jc w:val="both"/>
        <w:rPr>
          <w:lang w:val="hr-HR"/>
        </w:rPr>
      </w:pPr>
      <w:r>
        <w:rPr>
          <w:lang w:val="hr-HR"/>
        </w:rPr>
        <w:tab/>
        <w:t>Uklanjanje snijega i leda se obavlja prema potrebama sigurnog i nesmetanog kretanja pješaka. Na zaleđene pješačke staze ili druge javne površine kojima se kreću pješaci posipa se pepeo, piljevina, pijesak i slično.</w:t>
      </w:r>
    </w:p>
    <w:p>
      <w:pPr>
        <w:pStyle w:val="Normal"/>
        <w:jc w:val="both"/>
        <w:rPr>
          <w:lang w:val="hr-HR"/>
        </w:rPr>
      </w:pPr>
      <w:r>
        <w:rPr>
          <w:lang w:val="hr-HR"/>
        </w:rPr>
        <w:tab/>
        <w:t>Snijeg se čisti na način i sredstvima koja ne oštećuju pješačke staze, odnosno ceste.</w:t>
      </w:r>
    </w:p>
    <w:p>
      <w:pPr>
        <w:pStyle w:val="Normal"/>
        <w:rPr>
          <w:lang w:val="hr-HR"/>
        </w:rPr>
      </w:pPr>
      <w:r>
        <w:rPr>
          <w:lang w:val="hr-HR"/>
        </w:rPr>
      </w:r>
    </w:p>
    <w:p>
      <w:pPr>
        <w:pStyle w:val="Normal"/>
        <w:jc w:val="center"/>
        <w:rPr>
          <w:b/>
          <w:b/>
          <w:lang w:val="hr-HR"/>
        </w:rPr>
      </w:pPr>
      <w:r>
        <w:rPr>
          <w:b/>
          <w:lang w:val="hr-HR"/>
        </w:rPr>
        <w:t>Članak 30.</w:t>
      </w:r>
    </w:p>
    <w:p>
      <w:pPr>
        <w:pStyle w:val="Normal"/>
        <w:jc w:val="both"/>
        <w:rPr>
          <w:lang w:val="hr-HR"/>
        </w:rPr>
      </w:pPr>
      <w:r>
        <w:rPr>
          <w:lang w:val="hr-HR"/>
        </w:rPr>
        <w:tab/>
        <w:t>Ukoliko prijeti opasnost da se nagomilani snijeg sa krovova odroni i tako ugrozi sigurnost prolaznika, vlasnici odnosno korisnici objekata moraju propisano označiti opasnost te opasnost otkloniti.</w:t>
      </w:r>
    </w:p>
    <w:p>
      <w:pPr>
        <w:pStyle w:val="Normal"/>
        <w:jc w:val="both"/>
        <w:rPr>
          <w:lang w:val="hr-HR"/>
        </w:rPr>
      </w:pPr>
      <w:r>
        <w:rPr>
          <w:lang w:val="hr-HR"/>
        </w:rPr>
        <w:tab/>
        <w:t>Snijeg se može odlagati na javnu površinu na način da ne ugrožava javni promet, a ulični jarak i slivnik moraju biti slobodni.</w:t>
      </w:r>
    </w:p>
    <w:p>
      <w:pPr>
        <w:pStyle w:val="Normal"/>
        <w:rPr>
          <w:lang w:val="hr-HR"/>
        </w:rPr>
      </w:pPr>
      <w:r>
        <w:rPr>
          <w:lang w:val="hr-HR"/>
        </w:rPr>
      </w:r>
    </w:p>
    <w:p>
      <w:pPr>
        <w:pStyle w:val="ListParagraph"/>
        <w:numPr>
          <w:ilvl w:val="0"/>
          <w:numId w:val="5"/>
        </w:numPr>
        <w:rPr>
          <w:b/>
          <w:b/>
          <w:lang w:val="hr-HR"/>
        </w:rPr>
      </w:pPr>
      <w:r>
        <w:rPr>
          <w:b/>
          <w:lang w:val="hr-HR"/>
        </w:rPr>
        <w:t>Otklanjanje otpadnih voda</w:t>
      </w:r>
    </w:p>
    <w:p>
      <w:pPr>
        <w:pStyle w:val="Normal"/>
        <w:jc w:val="center"/>
        <w:rPr>
          <w:b/>
          <w:b/>
          <w:lang w:val="hr-HR"/>
        </w:rPr>
      </w:pPr>
      <w:r>
        <w:rPr>
          <w:b/>
          <w:lang w:val="hr-HR"/>
        </w:rPr>
        <w:t>Članak 31.</w:t>
      </w:r>
    </w:p>
    <w:p>
      <w:pPr>
        <w:pStyle w:val="Normal"/>
        <w:jc w:val="both"/>
        <w:rPr>
          <w:lang w:val="hr-HR"/>
        </w:rPr>
      </w:pPr>
      <w:r>
        <w:rPr>
          <w:lang w:val="hr-HR"/>
        </w:rPr>
        <w:tab/>
        <w:t>Odvodnja oborinskih voda sa stambenih, poslovnih i drugih objekata i zemljišta se vrši u cestovni jarak, ako se njihovo otjecanje ne može priključiti na mrežu kanalizacije.</w:t>
      </w:r>
    </w:p>
    <w:p>
      <w:pPr>
        <w:pStyle w:val="Normal"/>
        <w:jc w:val="both"/>
        <w:rPr>
          <w:lang w:val="hr-HR"/>
        </w:rPr>
      </w:pPr>
      <w:r>
        <w:rPr>
          <w:lang w:val="hr-HR"/>
        </w:rPr>
        <w:tab/>
        <w:t>Vlasnici odnosno korisnici stambenih, poslovnih i drugih objekata dužni su održavati u funkcionalnom stanju cestovne jarke u dužini objekata i zemljišta koje koriste.</w:t>
      </w:r>
    </w:p>
    <w:p>
      <w:pPr>
        <w:pStyle w:val="Normal"/>
        <w:jc w:val="both"/>
        <w:rPr>
          <w:lang w:val="hr-HR"/>
        </w:rPr>
      </w:pPr>
      <w:r>
        <w:rPr>
          <w:lang w:val="hr-HR"/>
        </w:rPr>
      </w:r>
    </w:p>
    <w:p>
      <w:pPr>
        <w:pStyle w:val="Normal"/>
        <w:jc w:val="center"/>
        <w:rPr>
          <w:b/>
          <w:b/>
          <w:lang w:val="hr-HR"/>
        </w:rPr>
      </w:pPr>
      <w:r>
        <w:rPr>
          <w:b/>
          <w:lang w:val="hr-HR"/>
        </w:rPr>
        <w:t>Članak 32.</w:t>
      </w:r>
    </w:p>
    <w:p>
      <w:pPr>
        <w:pStyle w:val="Normal"/>
        <w:rPr>
          <w:lang w:val="hr-HR"/>
        </w:rPr>
      </w:pPr>
      <w:r>
        <w:rPr>
          <w:lang w:val="hr-HR"/>
        </w:rPr>
        <w:tab/>
        <w:t>Zabranjeno je ispuštanje tekućeg animalnog otpada u putne jarke ili u druge jarke koji služe za odvodnju oborinskih voda.</w:t>
      </w:r>
    </w:p>
    <w:p>
      <w:pPr>
        <w:pStyle w:val="Normal"/>
        <w:rPr>
          <w:lang w:val="hr-HR"/>
        </w:rPr>
      </w:pPr>
      <w:r>
        <w:rPr>
          <w:lang w:val="hr-HR"/>
        </w:rPr>
        <w:tab/>
        <w:t>Zabranjeno je ispuštanje otrova od traktorskih šprica (prskalica) ili ispuštanje sadržaja njihovog pranja u putne jarke ili druge jarke koji služe odvodnji oborinskih voda.</w:t>
      </w:r>
    </w:p>
    <w:p>
      <w:pPr>
        <w:pStyle w:val="Normal"/>
        <w:rPr>
          <w:lang w:val="hr-HR"/>
        </w:rPr>
      </w:pPr>
      <w:r>
        <w:rPr>
          <w:lang w:val="hr-HR"/>
        </w:rPr>
      </w:r>
    </w:p>
    <w:p>
      <w:pPr>
        <w:pStyle w:val="ListParagraph"/>
        <w:numPr>
          <w:ilvl w:val="0"/>
          <w:numId w:val="5"/>
        </w:numPr>
        <w:rPr>
          <w:b/>
          <w:b/>
          <w:lang w:val="hr-HR"/>
        </w:rPr>
      </w:pPr>
      <w:r>
        <w:rPr>
          <w:b/>
          <w:lang w:val="hr-HR"/>
        </w:rPr>
        <w:t>Čišćenje zahodskih jama i odvoz fekalija</w:t>
      </w:r>
    </w:p>
    <w:p>
      <w:pPr>
        <w:pStyle w:val="Normal"/>
        <w:jc w:val="center"/>
        <w:rPr>
          <w:b/>
          <w:b/>
          <w:lang w:val="hr-HR"/>
        </w:rPr>
      </w:pPr>
      <w:r>
        <w:rPr>
          <w:b/>
          <w:lang w:val="hr-HR"/>
        </w:rPr>
        <w:t>Članak 33.</w:t>
      </w:r>
    </w:p>
    <w:p>
      <w:pPr>
        <w:pStyle w:val="Normal"/>
        <w:jc w:val="both"/>
        <w:rPr>
          <w:lang w:val="hr-HR"/>
        </w:rPr>
      </w:pPr>
      <w:r>
        <w:rPr>
          <w:lang w:val="hr-HR"/>
        </w:rPr>
        <w:tab/>
        <w:t>Čišćenje, pražnjenje, odvoz i odlaganje sadržaja septičkih jama vrši se pneumatskim uređajem. Odvoz fekalija može se vršiti samo u potpuno zatvorenoj posudi (cisterni).</w:t>
      </w:r>
    </w:p>
    <w:p>
      <w:pPr>
        <w:pStyle w:val="Normal"/>
        <w:jc w:val="both"/>
        <w:rPr>
          <w:lang w:val="hr-HR"/>
        </w:rPr>
      </w:pPr>
      <w:r>
        <w:rPr>
          <w:lang w:val="hr-HR"/>
        </w:rPr>
        <w:tab/>
      </w:r>
    </w:p>
    <w:p>
      <w:pPr>
        <w:pStyle w:val="ListParagraph"/>
        <w:numPr>
          <w:ilvl w:val="0"/>
          <w:numId w:val="5"/>
        </w:numPr>
        <w:rPr>
          <w:b/>
          <w:b/>
          <w:lang w:val="hr-HR"/>
        </w:rPr>
      </w:pPr>
      <w:r>
        <w:rPr>
          <w:b/>
          <w:lang w:val="hr-HR"/>
        </w:rPr>
        <w:t>Držanje krupne i sitne stoke</w:t>
      </w:r>
    </w:p>
    <w:p>
      <w:pPr>
        <w:pStyle w:val="Normal"/>
        <w:jc w:val="center"/>
        <w:rPr>
          <w:b/>
          <w:b/>
          <w:lang w:val="hr-HR"/>
        </w:rPr>
      </w:pPr>
      <w:r>
        <w:rPr>
          <w:b/>
          <w:lang w:val="hr-HR"/>
        </w:rPr>
        <w:t>Članak 34.</w:t>
      </w:r>
    </w:p>
    <w:p>
      <w:pPr>
        <w:pStyle w:val="Normal"/>
        <w:jc w:val="both"/>
        <w:rPr>
          <w:lang w:val="hr-HR"/>
        </w:rPr>
      </w:pPr>
      <w:r>
        <w:rPr>
          <w:lang w:val="hr-HR"/>
        </w:rPr>
        <w:tab/>
        <w:t>Građani mogu držati krupnu i sitnu stoku te druge domaće životinje u skladu sa zakonom i drugim propisima.</w:t>
      </w:r>
    </w:p>
    <w:p>
      <w:pPr>
        <w:pStyle w:val="Normal"/>
        <w:jc w:val="both"/>
        <w:rPr>
          <w:lang w:val="hr-HR"/>
        </w:rPr>
      </w:pPr>
      <w:r>
        <w:rPr>
          <w:lang w:val="hr-HR"/>
        </w:rPr>
        <w:tab/>
        <w:t>Stoka se mora držati u odgovarajućim objektima uz obvezno preventivno i drugo cjepljenje.</w:t>
      </w:r>
    </w:p>
    <w:p>
      <w:pPr>
        <w:pStyle w:val="Normal"/>
        <w:jc w:val="both"/>
        <w:rPr>
          <w:lang w:val="hr-HR"/>
        </w:rPr>
      </w:pPr>
      <w:r>
        <w:rPr>
          <w:lang w:val="hr-HR"/>
        </w:rPr>
        <w:tab/>
        <w:t>Zabranjuje se čuvanje i napasanje stoke na javnim površinama (npr. ispred školske zgrade, crkve i drugih objekata).</w:t>
      </w:r>
    </w:p>
    <w:p>
      <w:pPr>
        <w:pStyle w:val="Normal"/>
        <w:jc w:val="both"/>
        <w:rPr>
          <w:lang w:val="hr-HR"/>
        </w:rPr>
      </w:pPr>
      <w:r>
        <w:rPr>
          <w:lang w:val="hr-HR"/>
        </w:rPr>
        <w:tab/>
        <w:t>Kroz naselje je dozvoljen samo progon stoke.</w:t>
      </w:r>
    </w:p>
    <w:p>
      <w:pPr>
        <w:pStyle w:val="Normal"/>
        <w:jc w:val="both"/>
        <w:rPr>
          <w:lang w:val="hr-HR"/>
        </w:rPr>
      </w:pPr>
      <w:r>
        <w:rPr>
          <w:lang w:val="hr-HR"/>
        </w:rPr>
        <w:tab/>
        <w:t>Prilikom progona stoke kroz naselje, ne smije se ugrožavati prolaz vozila niti oštećivati javne površine.</w:t>
      </w:r>
    </w:p>
    <w:p>
      <w:pPr>
        <w:pStyle w:val="Normal"/>
        <w:jc w:val="both"/>
        <w:rPr>
          <w:lang w:val="hr-HR"/>
        </w:rPr>
      </w:pPr>
      <w:r>
        <w:rPr>
          <w:lang w:val="hr-HR"/>
        </w:rPr>
        <w:tab/>
        <w:t>U slučaju pričinjavanja štete iz stavka 3. i 4. ovog članka te štete na usjevima vlasnik stoke je dužan istu naknaditi.</w:t>
      </w:r>
    </w:p>
    <w:p>
      <w:pPr>
        <w:pStyle w:val="Normal"/>
        <w:jc w:val="both"/>
        <w:rPr>
          <w:lang w:val="hr-HR"/>
        </w:rPr>
      </w:pPr>
      <w:r>
        <w:rPr>
          <w:lang w:val="hr-HR"/>
        </w:rPr>
        <w:tab/>
        <w:t>Držanje i progon stoke i druga pitanja regulisaće se posebnom odlukom Općinskog načelnika u skladu sa Zakonom o veterinarskoj inspekciji i drugim propisima.</w:t>
      </w:r>
    </w:p>
    <w:p>
      <w:pPr>
        <w:pStyle w:val="Normal"/>
        <w:jc w:val="both"/>
        <w:rPr>
          <w:lang w:val="hr-HR"/>
        </w:rPr>
      </w:pPr>
      <w:r>
        <w:rPr>
          <w:lang w:val="hr-HR"/>
        </w:rPr>
      </w:r>
    </w:p>
    <w:p>
      <w:pPr>
        <w:pStyle w:val="Normal"/>
        <w:jc w:val="center"/>
        <w:rPr>
          <w:b/>
          <w:b/>
          <w:lang w:val="hr-HR"/>
        </w:rPr>
      </w:pPr>
      <w:r>
        <w:rPr>
          <w:b/>
          <w:lang w:val="hr-HR"/>
        </w:rPr>
        <w:t>Članak 35.</w:t>
      </w:r>
    </w:p>
    <w:p>
      <w:pPr>
        <w:pStyle w:val="Normal"/>
        <w:rPr>
          <w:lang w:val="hr-HR"/>
        </w:rPr>
      </w:pPr>
      <w:r>
        <w:rPr>
          <w:lang w:val="hr-HR"/>
        </w:rPr>
        <w:tab/>
        <w:t>Zabranjeno je puštanje stoke i sličnih životinja da se slobodno kreću selom.</w:t>
      </w:r>
    </w:p>
    <w:p>
      <w:pPr>
        <w:pStyle w:val="Normal"/>
        <w:rPr>
          <w:lang w:val="hr-HR"/>
        </w:rPr>
      </w:pPr>
      <w:r>
        <w:rPr>
          <w:lang w:val="hr-HR"/>
        </w:rPr>
      </w:r>
    </w:p>
    <w:p>
      <w:pPr>
        <w:pStyle w:val="ListParagraph"/>
        <w:numPr>
          <w:ilvl w:val="0"/>
          <w:numId w:val="5"/>
        </w:numPr>
        <w:rPr>
          <w:b/>
          <w:b/>
          <w:lang w:val="hr-HR"/>
        </w:rPr>
      </w:pPr>
      <w:r>
        <w:rPr>
          <w:b/>
          <w:lang w:val="hr-HR"/>
        </w:rPr>
        <w:t>Uklanjanje protupravno postavljenih predmeta</w:t>
      </w:r>
    </w:p>
    <w:p>
      <w:pPr>
        <w:pStyle w:val="Normal"/>
        <w:jc w:val="center"/>
        <w:rPr>
          <w:b/>
          <w:b/>
          <w:lang w:val="hr-HR"/>
        </w:rPr>
      </w:pPr>
      <w:r>
        <w:rPr>
          <w:b/>
          <w:lang w:val="hr-HR"/>
        </w:rPr>
        <w:t>Članak 36.</w:t>
      </w:r>
    </w:p>
    <w:p>
      <w:pPr>
        <w:pStyle w:val="Normal"/>
        <w:jc w:val="both"/>
        <w:rPr>
          <w:lang w:val="hr-HR"/>
        </w:rPr>
      </w:pPr>
      <w:r>
        <w:rPr>
          <w:lang w:val="hr-HR"/>
        </w:rPr>
        <w:tab/>
        <w:t>Protupravno (bez odobrenja nadležnog tijela Općine) postavljene objekte ili predmete na području Općine moraju ukloniti njihovi vlasnici ili korisnici.</w:t>
      </w:r>
    </w:p>
    <w:p>
      <w:pPr>
        <w:pStyle w:val="Normal"/>
        <w:jc w:val="both"/>
        <w:rPr>
          <w:lang w:val="hr-HR"/>
        </w:rPr>
      </w:pPr>
      <w:r>
        <w:rPr>
          <w:lang w:val="hr-HR"/>
        </w:rPr>
        <w:tab/>
        <w:t>Neizvršenje obveza iz stavka 1. ovog članka i pored naredbe komunalnog redara omogućuje njihovo uklanjanje na trošak vlasnika ili korisnika.</w:t>
      </w:r>
    </w:p>
    <w:p>
      <w:pPr>
        <w:pStyle w:val="Normal"/>
        <w:rPr>
          <w:lang w:val="hr-HR"/>
        </w:rPr>
      </w:pPr>
      <w:r>
        <w:rPr>
          <w:lang w:val="hr-HR"/>
        </w:rPr>
      </w:r>
    </w:p>
    <w:p>
      <w:pPr>
        <w:pStyle w:val="Normal"/>
        <w:rPr>
          <w:b/>
          <w:b/>
          <w:lang w:val="hr-HR"/>
        </w:rPr>
      </w:pPr>
      <w:r>
        <w:rPr>
          <w:b/>
          <w:lang w:val="hr-HR"/>
        </w:rPr>
        <w:t>III. NADZOR I MJERE ZA PROVOĐENJE KOMUNALNOG REDA</w:t>
      </w:r>
    </w:p>
    <w:p>
      <w:pPr>
        <w:pStyle w:val="Normal"/>
        <w:jc w:val="center"/>
        <w:rPr>
          <w:b/>
          <w:b/>
          <w:lang w:val="hr-HR"/>
        </w:rPr>
      </w:pPr>
      <w:r>
        <w:rPr>
          <w:b/>
          <w:lang w:val="hr-HR"/>
        </w:rPr>
        <w:t>Članak 37.</w:t>
      </w:r>
    </w:p>
    <w:p>
      <w:pPr>
        <w:pStyle w:val="Normal"/>
        <w:jc w:val="both"/>
        <w:rPr>
          <w:lang w:val="hr-HR"/>
        </w:rPr>
      </w:pPr>
      <w:r>
        <w:rPr>
          <w:lang w:val="hr-HR"/>
        </w:rPr>
        <w:tab/>
        <w:t>Nadzor nad provođenjem ove Odluke vrši ovlaštena osoba Jedinstvenog upravnog odjela (komunalni redar) i ovlaštene osobe Ministarstva unutarnjih poslova, uz suradnju građana. Komunalni redar je službena osoba, koja status dokazuje službenom iskaznicom.</w:t>
      </w:r>
    </w:p>
    <w:p>
      <w:pPr>
        <w:pStyle w:val="Normal"/>
        <w:rPr>
          <w:lang w:val="hr-HR"/>
        </w:rPr>
      </w:pPr>
      <w:r>
        <w:rPr>
          <w:lang w:val="hr-HR"/>
        </w:rPr>
      </w:r>
    </w:p>
    <w:p>
      <w:pPr>
        <w:pStyle w:val="Normal"/>
        <w:jc w:val="center"/>
        <w:rPr>
          <w:b/>
          <w:b/>
          <w:lang w:val="hr-HR"/>
        </w:rPr>
      </w:pPr>
      <w:r>
        <w:rPr>
          <w:b/>
          <w:lang w:val="hr-HR"/>
        </w:rPr>
        <w:t>Članak 38.</w:t>
      </w:r>
    </w:p>
    <w:p>
      <w:pPr>
        <w:pStyle w:val="Normal"/>
        <w:jc w:val="both"/>
        <w:rPr>
          <w:lang w:val="hr-HR"/>
        </w:rPr>
      </w:pPr>
      <w:r>
        <w:rPr>
          <w:lang w:val="hr-HR"/>
        </w:rPr>
        <w:tab/>
        <w:t>Kada građani utvrde prekršaj u primjeni odredbi ove Odluke, dužni su o tome pismeno izvijestiti Općinskog načelnika.</w:t>
      </w:r>
    </w:p>
    <w:p>
      <w:pPr>
        <w:pStyle w:val="Normal"/>
        <w:rPr>
          <w:lang w:val="hr-HR"/>
        </w:rPr>
      </w:pPr>
      <w:r>
        <w:rPr>
          <w:lang w:val="hr-HR"/>
        </w:rPr>
      </w:r>
    </w:p>
    <w:p>
      <w:pPr>
        <w:pStyle w:val="Normal"/>
        <w:jc w:val="center"/>
        <w:rPr>
          <w:b/>
          <w:b/>
          <w:lang w:val="hr-HR"/>
        </w:rPr>
      </w:pPr>
      <w:r>
        <w:rPr>
          <w:b/>
          <w:lang w:val="hr-HR"/>
        </w:rPr>
        <w:t>Članak 39.</w:t>
      </w:r>
    </w:p>
    <w:p>
      <w:pPr>
        <w:pStyle w:val="Normal"/>
        <w:jc w:val="both"/>
        <w:rPr>
          <w:lang w:val="hr-HR"/>
        </w:rPr>
      </w:pPr>
      <w:r>
        <w:rPr>
          <w:lang w:val="hr-HR"/>
        </w:rPr>
        <w:tab/>
        <w:t xml:space="preserve">Komunalni redar može: </w:t>
      </w:r>
    </w:p>
    <w:p>
      <w:pPr>
        <w:pStyle w:val="ListParagraph"/>
        <w:numPr>
          <w:ilvl w:val="0"/>
          <w:numId w:val="3"/>
        </w:numPr>
        <w:jc w:val="both"/>
        <w:rPr>
          <w:lang w:val="hr-HR"/>
        </w:rPr>
      </w:pPr>
      <w:r>
        <w:rPr>
          <w:lang w:val="hr-HR"/>
        </w:rPr>
        <w:t>rješenjem narediti pravnim i fizičkim osobama radnje za uspostavljanje komunalnog reda,</w:t>
      </w:r>
    </w:p>
    <w:p>
      <w:pPr>
        <w:pStyle w:val="ListParagraph"/>
        <w:numPr>
          <w:ilvl w:val="0"/>
          <w:numId w:val="3"/>
        </w:numPr>
        <w:jc w:val="both"/>
        <w:rPr>
          <w:lang w:val="hr-HR"/>
        </w:rPr>
      </w:pPr>
      <w:r>
        <w:rPr>
          <w:lang w:val="hr-HR"/>
        </w:rPr>
        <w:t>izricati i naplaćivati novčane kazne,</w:t>
      </w:r>
    </w:p>
    <w:p>
      <w:pPr>
        <w:pStyle w:val="ListParagraph"/>
        <w:numPr>
          <w:ilvl w:val="0"/>
          <w:numId w:val="3"/>
        </w:numPr>
        <w:jc w:val="both"/>
        <w:rPr>
          <w:lang w:val="hr-HR"/>
        </w:rPr>
      </w:pPr>
      <w:r>
        <w:rPr>
          <w:lang w:val="hr-HR"/>
        </w:rPr>
        <w:t>predložiti pokretanje prekršajnog postupka.</w:t>
      </w:r>
    </w:p>
    <w:p>
      <w:pPr>
        <w:pStyle w:val="Normal"/>
        <w:jc w:val="both"/>
        <w:rPr>
          <w:lang w:val="hr-HR"/>
        </w:rPr>
      </w:pPr>
      <w:r>
        <w:rPr>
          <w:lang w:val="hr-HR"/>
        </w:rPr>
      </w:r>
    </w:p>
    <w:p>
      <w:pPr>
        <w:pStyle w:val="Normal"/>
        <w:jc w:val="center"/>
        <w:rPr>
          <w:b/>
          <w:b/>
          <w:lang w:val="hr-HR"/>
        </w:rPr>
      </w:pPr>
      <w:r>
        <w:rPr>
          <w:b/>
          <w:lang w:val="hr-HR"/>
        </w:rPr>
        <w:t>Članak 40.</w:t>
      </w:r>
    </w:p>
    <w:p>
      <w:pPr>
        <w:pStyle w:val="Normal"/>
        <w:jc w:val="both"/>
        <w:rPr>
          <w:lang w:val="hr-HR"/>
        </w:rPr>
      </w:pPr>
      <w:r>
        <w:rPr>
          <w:lang w:val="hr-HR"/>
        </w:rPr>
        <w:tab/>
        <w:t>U obavljanju nadzora nad poštivanjem propisa, komunalni redar je ovlašten:</w:t>
      </w:r>
    </w:p>
    <w:p>
      <w:pPr>
        <w:pStyle w:val="ListParagraph"/>
        <w:numPr>
          <w:ilvl w:val="0"/>
          <w:numId w:val="6"/>
        </w:numPr>
        <w:jc w:val="both"/>
        <w:rPr>
          <w:lang w:val="hr-HR"/>
        </w:rPr>
      </w:pPr>
      <w:r>
        <w:rPr>
          <w:lang w:val="hr-HR"/>
        </w:rPr>
        <w:t>zatražiti pregled isprave (osobna iskaznica, putovnica, izvod iz sudskog registra i slično) na temelju kojih se može utvrditi identitet stranke odnosno zakonskog zastupnika stranke, kao i drugih osoba nazočnih prilikom nadzora,</w:t>
      </w:r>
    </w:p>
    <w:p>
      <w:pPr>
        <w:pStyle w:val="ListParagraph"/>
        <w:numPr>
          <w:ilvl w:val="0"/>
          <w:numId w:val="6"/>
        </w:numPr>
        <w:jc w:val="both"/>
        <w:rPr>
          <w:lang w:val="hr-HR"/>
        </w:rPr>
      </w:pPr>
      <w:r>
        <w:rPr>
          <w:lang w:val="hr-HR"/>
        </w:rPr>
        <w:t>uzimati izjave od odgovornih osoba radi pribavljanja dokaza o činjenicama koje se ne mogu izravno utvrditi, kao i od drugih osoba nazočnih prilikom nadzora,</w:t>
      </w:r>
    </w:p>
    <w:p>
      <w:pPr>
        <w:pStyle w:val="ListParagraph"/>
        <w:numPr>
          <w:ilvl w:val="0"/>
          <w:numId w:val="6"/>
        </w:numPr>
        <w:jc w:val="both"/>
        <w:rPr>
          <w:lang w:val="hr-HR"/>
        </w:rPr>
      </w:pPr>
      <w:r>
        <w:rPr>
          <w:lang w:val="hr-HR"/>
        </w:rPr>
        <w:t>zatražiti pisanim putem od stranke točne i potpune podatke i dokumentaciju potrebnu u nadzoru,</w:t>
      </w:r>
    </w:p>
    <w:p>
      <w:pPr>
        <w:pStyle w:val="ListParagraph"/>
        <w:numPr>
          <w:ilvl w:val="0"/>
          <w:numId w:val="6"/>
        </w:numPr>
        <w:jc w:val="both"/>
        <w:rPr>
          <w:lang w:val="hr-HR"/>
        </w:rPr>
      </w:pPr>
      <w:r>
        <w:rPr>
          <w:lang w:val="hr-HR"/>
        </w:rPr>
        <w:t>prikupljati dokaze i utvrđivati činjenično stanje na vizualni i drugi odgovarajući način (fotografiranjem, snimanjem kamerom, videozapisom i slično),</w:t>
      </w:r>
    </w:p>
    <w:p>
      <w:pPr>
        <w:pStyle w:val="ListParagraph"/>
        <w:numPr>
          <w:ilvl w:val="0"/>
          <w:numId w:val="6"/>
        </w:numPr>
        <w:jc w:val="both"/>
        <w:rPr>
          <w:lang w:val="hr-HR"/>
        </w:rPr>
      </w:pPr>
      <w:r>
        <w:rPr>
          <w:lang w:val="hr-HR"/>
        </w:rPr>
        <w:t>obavljati i druge radnje u svrhu provedbe nadzora.</w:t>
      </w:r>
    </w:p>
    <w:p>
      <w:pPr>
        <w:pStyle w:val="Normal"/>
        <w:rPr>
          <w:lang w:val="hr-HR"/>
        </w:rPr>
      </w:pPr>
      <w:r>
        <w:rPr>
          <w:lang w:val="hr-HR"/>
        </w:rPr>
      </w:r>
    </w:p>
    <w:p>
      <w:pPr>
        <w:pStyle w:val="Normal"/>
        <w:jc w:val="center"/>
        <w:rPr>
          <w:b/>
          <w:b/>
          <w:lang w:val="hr-HR"/>
        </w:rPr>
      </w:pPr>
      <w:r>
        <w:rPr>
          <w:b/>
          <w:lang w:val="hr-HR"/>
        </w:rPr>
        <w:t xml:space="preserve">Članak 41. </w:t>
      </w:r>
    </w:p>
    <w:p>
      <w:pPr>
        <w:pStyle w:val="Normal"/>
        <w:jc w:val="both"/>
        <w:rPr>
          <w:lang w:val="hr-HR"/>
        </w:rPr>
      </w:pPr>
      <w:r>
        <w:rPr>
          <w:lang w:val="hr-HR"/>
        </w:rPr>
        <w:tab/>
        <w:t>U nadzoru nad provedbom ove Odluke komunalni redar ima pravo i obvezu rješenjem ili na drugi način narediti fizičkim i pravnim osobama mjere za održavanje komunalnog reda propisane ovom Odlukom.</w:t>
      </w:r>
    </w:p>
    <w:p>
      <w:pPr>
        <w:pStyle w:val="Normal"/>
        <w:jc w:val="both"/>
        <w:rPr>
          <w:lang w:val="hr-HR"/>
        </w:rPr>
      </w:pPr>
      <w:r>
        <w:rPr>
          <w:lang w:val="hr-HR"/>
        </w:rPr>
        <w:tab/>
        <w:t>Optužni prijedlog za prekršaj propisan ovom Odlukom koji u nadzoru utvrdi komunalni redar podnosi Jedinstveni upravni odjel Općine Negoslavci.</w:t>
      </w:r>
    </w:p>
    <w:p>
      <w:pPr>
        <w:pStyle w:val="Normal"/>
        <w:jc w:val="center"/>
        <w:rPr>
          <w:lang w:val="hr-HR"/>
        </w:rPr>
      </w:pPr>
      <w:r>
        <w:rPr>
          <w:b/>
          <w:lang w:val="hr-HR"/>
        </w:rPr>
        <w:t>Članak 42.</w:t>
      </w:r>
    </w:p>
    <w:p>
      <w:pPr>
        <w:pStyle w:val="Normal"/>
        <w:rPr>
          <w:lang w:val="hr-HR"/>
        </w:rPr>
      </w:pPr>
      <w:r>
        <w:rPr>
          <w:lang w:val="hr-HR"/>
        </w:rPr>
        <w:tab/>
        <w:t>Jedinstveni upravni odjel Općine Negoslavci je ovlašten zatražiti pomoć policije ako se prilikom izvršenja rješenja pruži otpor ili se otpor osnovano očekuje.</w:t>
      </w:r>
    </w:p>
    <w:p>
      <w:pPr>
        <w:pStyle w:val="Normal"/>
        <w:jc w:val="both"/>
        <w:rPr>
          <w:lang w:val="hr-HR"/>
        </w:rPr>
      </w:pPr>
      <w:r>
        <w:rPr>
          <w:lang w:val="hr-HR"/>
        </w:rPr>
      </w:r>
    </w:p>
    <w:p>
      <w:pPr>
        <w:pStyle w:val="Normal"/>
        <w:jc w:val="center"/>
        <w:rPr>
          <w:b/>
          <w:b/>
          <w:lang w:val="hr-HR"/>
        </w:rPr>
      </w:pPr>
      <w:r>
        <w:rPr>
          <w:b/>
          <w:lang w:val="hr-HR"/>
        </w:rPr>
        <w:t>Članak 43.</w:t>
      </w:r>
    </w:p>
    <w:p>
      <w:pPr>
        <w:pStyle w:val="Normal"/>
        <w:jc w:val="both"/>
        <w:rPr>
          <w:lang w:val="hr-HR"/>
        </w:rPr>
      </w:pPr>
      <w:r>
        <w:rPr>
          <w:lang w:val="hr-HR"/>
        </w:rPr>
        <w:tab/>
        <w:t>Protiv rješenja komunalnog redara se može u roku od 15 dana od primitka rješenja izjaviti žalba upravnom organu Vukovarsko-srijemske županije, nadležnom za poslove komunalnog gospodarstva.</w:t>
      </w:r>
    </w:p>
    <w:p>
      <w:pPr>
        <w:pStyle w:val="Normal"/>
        <w:jc w:val="both"/>
        <w:rPr>
          <w:lang w:val="hr-HR"/>
        </w:rPr>
      </w:pPr>
      <w:r>
        <w:rPr>
          <w:lang w:val="hr-HR"/>
        </w:rPr>
        <w:tab/>
        <w:t>Žalba iz stavka 1. ovog članka ne odgađa izvršenje rješenja.</w:t>
      </w:r>
    </w:p>
    <w:p>
      <w:pPr>
        <w:pStyle w:val="Normal"/>
        <w:rPr>
          <w:lang w:val="hr-HR"/>
        </w:rPr>
      </w:pPr>
      <w:r>
        <w:rPr>
          <w:lang w:val="hr-HR"/>
        </w:rPr>
      </w:r>
    </w:p>
    <w:p>
      <w:pPr>
        <w:pStyle w:val="Normal"/>
        <w:jc w:val="center"/>
        <w:rPr>
          <w:b/>
          <w:b/>
          <w:lang w:val="hr-HR"/>
        </w:rPr>
      </w:pPr>
      <w:r>
        <w:rPr>
          <w:b/>
          <w:lang w:val="hr-HR"/>
        </w:rPr>
        <w:t>Članak 44.</w:t>
      </w:r>
    </w:p>
    <w:p>
      <w:pPr>
        <w:pStyle w:val="Normal"/>
        <w:jc w:val="both"/>
        <w:rPr>
          <w:lang w:val="hr-HR"/>
        </w:rPr>
      </w:pPr>
      <w:r>
        <w:rPr>
          <w:lang w:val="hr-HR"/>
        </w:rPr>
        <w:tab/>
        <w:t>Pravne i fizičke osobe su obvezne omogućiti nesmetan rad komunalnom redaru.</w:t>
      </w:r>
    </w:p>
    <w:p>
      <w:pPr>
        <w:pStyle w:val="Normal"/>
        <w:jc w:val="both"/>
        <w:rPr>
          <w:lang w:val="hr-HR"/>
        </w:rPr>
      </w:pPr>
      <w:r>
        <w:rPr>
          <w:lang w:val="hr-HR"/>
        </w:rPr>
        <w:tab/>
        <w:t>U slučaju nepostupanja po rješenju komunalnog redara, odnosno neizvršavanja potrebnih radnji u cilju uspostave komunalnog reda, komunalni redar je ovlašten organizirati poduzimanje radnje na trošak obveznika.</w:t>
      </w:r>
    </w:p>
    <w:p>
      <w:pPr>
        <w:pStyle w:val="Normal"/>
        <w:jc w:val="both"/>
        <w:rPr>
          <w:lang w:val="hr-HR"/>
        </w:rPr>
      </w:pPr>
      <w:r>
        <w:rPr>
          <w:lang w:val="hr-HR"/>
        </w:rPr>
      </w:r>
    </w:p>
    <w:p>
      <w:pPr>
        <w:pStyle w:val="Normal"/>
        <w:rPr>
          <w:b/>
          <w:b/>
          <w:lang w:val="hr-HR"/>
        </w:rPr>
      </w:pPr>
      <w:r>
        <w:rPr>
          <w:b/>
          <w:lang w:val="hr-HR"/>
        </w:rPr>
        <w:t>IV. KAZNENE ODREDBE</w:t>
      </w:r>
    </w:p>
    <w:p>
      <w:pPr>
        <w:pStyle w:val="Normal"/>
        <w:jc w:val="center"/>
        <w:rPr>
          <w:b/>
          <w:b/>
          <w:lang w:val="hr-HR"/>
        </w:rPr>
      </w:pPr>
      <w:r>
        <w:rPr>
          <w:b/>
          <w:lang w:val="hr-HR"/>
        </w:rPr>
        <w:t>Članak 45.</w:t>
      </w:r>
    </w:p>
    <w:p>
      <w:pPr>
        <w:pStyle w:val="Normal"/>
        <w:jc w:val="both"/>
        <w:rPr>
          <w:lang w:val="hr-HR"/>
        </w:rPr>
      </w:pPr>
      <w:r>
        <w:rPr>
          <w:b/>
          <w:lang w:val="hr-HR"/>
        </w:rPr>
        <w:tab/>
      </w:r>
      <w:r>
        <w:rPr>
          <w:lang w:val="hr-HR"/>
        </w:rPr>
        <w:t>Prije izricanja novčane kazne komunalni redar će izreći mjeru upozorenja te ako se isti prekršaj ponovi od iste fizičke ili pravne osobe, ili pravna ili fizička osoba počinitelj prekršaja ne učini il</w:t>
      </w:r>
      <w:r>
        <w:rPr>
          <w:color w:val="000000"/>
          <w:lang w:val="hr-HR"/>
        </w:rPr>
        <w:t>i se ne suzdrži sukladno naredbi komunalnog redara, tada će se počinitelju izreći kazna kako je propisano u člancima 46. i 47. ove Odluke.</w:t>
      </w:r>
    </w:p>
    <w:p>
      <w:pPr>
        <w:pStyle w:val="Normal"/>
        <w:jc w:val="both"/>
        <w:rPr>
          <w:color w:val="000000"/>
        </w:rPr>
      </w:pPr>
      <w:r>
        <w:rPr>
          <w:color w:val="000000"/>
          <w:lang w:val="hr-HR"/>
        </w:rPr>
        <w:tab/>
      </w:r>
      <w:r>
        <w:rPr>
          <w:color w:val="000000"/>
          <w:lang w:val="hr-HR"/>
        </w:rPr>
        <w:t>Prethodni stavak se primjenjuje u svim slučajevima iz prethodnog stavka, osim u slučaju neovlaštenog odbacivanja otpada, za koji se primjenjuje Odluka o sprječavanju odbacivanja otpada na području Općine Negoslavci.</w:t>
      </w:r>
      <w:r>
        <w:rPr>
          <w:color w:val="000000"/>
          <w:lang w:val="hr-HR"/>
        </w:rPr>
        <w:t xml:space="preserve">  </w:t>
      </w:r>
    </w:p>
    <w:p>
      <w:pPr>
        <w:pStyle w:val="Normal"/>
        <w:rPr>
          <w:color w:val="000000"/>
          <w:lang w:val="hr-HR"/>
        </w:rPr>
      </w:pPr>
      <w:r>
        <w:rPr>
          <w:color w:val="000000"/>
          <w:lang w:val="hr-HR"/>
        </w:rPr>
      </w:r>
    </w:p>
    <w:p>
      <w:pPr>
        <w:pStyle w:val="Normal"/>
        <w:jc w:val="center"/>
        <w:rPr>
          <w:color w:val="000000"/>
        </w:rPr>
      </w:pPr>
      <w:r>
        <w:rPr>
          <w:b/>
          <w:color w:val="000000"/>
          <w:lang w:val="hr-HR"/>
        </w:rPr>
        <w:t>Članak 46.</w:t>
      </w:r>
    </w:p>
    <w:p>
      <w:pPr>
        <w:pStyle w:val="Normal"/>
        <w:jc w:val="both"/>
        <w:rPr>
          <w:color w:val="000000"/>
        </w:rPr>
      </w:pPr>
      <w:r>
        <w:rPr>
          <w:color w:val="000000"/>
          <w:lang w:val="hr-HR"/>
        </w:rPr>
        <w:tab/>
        <w:t>Novčanim kaznama u visini od</w:t>
      </w:r>
      <w:r>
        <w:rPr>
          <w:color w:val="000000"/>
          <w:lang w:val="hr-HR"/>
        </w:rPr>
        <w:t xml:space="preserve"> 500,00 EUR</w:t>
      </w:r>
      <w:r>
        <w:rPr>
          <w:color w:val="000000"/>
          <w:lang w:val="hr-HR"/>
        </w:rPr>
        <w:t xml:space="preserve"> kaznit će se pravna osoba za prekršaj iz:</w:t>
      </w:r>
    </w:p>
    <w:p>
      <w:pPr>
        <w:pStyle w:val="ListParagraph"/>
        <w:numPr>
          <w:ilvl w:val="0"/>
          <w:numId w:val="4"/>
        </w:numPr>
        <w:jc w:val="both"/>
        <w:rPr>
          <w:color w:val="000000"/>
        </w:rPr>
      </w:pPr>
      <w:r>
        <w:rPr>
          <w:color w:val="000000"/>
          <w:lang w:val="hr-HR"/>
        </w:rPr>
        <w:t>članak 5. ove Odluke,</w:t>
      </w:r>
    </w:p>
    <w:p>
      <w:pPr>
        <w:pStyle w:val="ListParagraph"/>
        <w:numPr>
          <w:ilvl w:val="0"/>
          <w:numId w:val="4"/>
        </w:numPr>
        <w:jc w:val="both"/>
        <w:rPr>
          <w:color w:val="000000"/>
        </w:rPr>
      </w:pPr>
      <w:r>
        <w:rPr>
          <w:color w:val="000000"/>
          <w:lang w:val="hr-HR"/>
        </w:rPr>
        <w:t>članak 9. alineje 3. ove Odluke,</w:t>
      </w:r>
    </w:p>
    <w:p>
      <w:pPr>
        <w:pStyle w:val="ListParagraph"/>
        <w:numPr>
          <w:ilvl w:val="0"/>
          <w:numId w:val="4"/>
        </w:numPr>
        <w:jc w:val="both"/>
        <w:rPr>
          <w:color w:val="000000"/>
        </w:rPr>
      </w:pPr>
      <w:r>
        <w:rPr>
          <w:color w:val="000000"/>
          <w:lang w:val="hr-HR"/>
        </w:rPr>
        <w:t>članka 11. i 12. ove Odluke,</w:t>
      </w:r>
    </w:p>
    <w:p>
      <w:pPr>
        <w:pStyle w:val="ListParagraph"/>
        <w:numPr>
          <w:ilvl w:val="0"/>
          <w:numId w:val="4"/>
        </w:numPr>
        <w:jc w:val="both"/>
        <w:rPr>
          <w:color w:val="000000"/>
        </w:rPr>
      </w:pPr>
      <w:r>
        <w:rPr>
          <w:color w:val="000000"/>
          <w:lang w:val="hr-HR"/>
        </w:rPr>
        <w:t>članka 14. ove Odluke,</w:t>
      </w:r>
    </w:p>
    <w:p>
      <w:pPr>
        <w:pStyle w:val="ListParagraph"/>
        <w:numPr>
          <w:ilvl w:val="0"/>
          <w:numId w:val="4"/>
        </w:numPr>
        <w:jc w:val="both"/>
        <w:rPr>
          <w:lang w:val="hr-HR"/>
        </w:rPr>
      </w:pPr>
      <w:r>
        <w:rPr>
          <w:lang w:val="hr-HR"/>
        </w:rPr>
        <w:t>članka 18. do 22. ove Odluke,</w:t>
      </w:r>
    </w:p>
    <w:p>
      <w:pPr>
        <w:pStyle w:val="ListParagraph"/>
        <w:numPr>
          <w:ilvl w:val="0"/>
          <w:numId w:val="4"/>
        </w:numPr>
        <w:jc w:val="both"/>
        <w:rPr>
          <w:lang w:val="hr-HR"/>
        </w:rPr>
      </w:pPr>
      <w:r>
        <w:rPr>
          <w:lang w:val="hr-HR"/>
        </w:rPr>
        <w:t>članka 32. ove Odluke,</w:t>
      </w:r>
    </w:p>
    <w:p>
      <w:pPr>
        <w:pStyle w:val="ListParagraph"/>
        <w:numPr>
          <w:ilvl w:val="0"/>
          <w:numId w:val="4"/>
        </w:numPr>
        <w:jc w:val="both"/>
        <w:rPr>
          <w:lang w:val="hr-HR"/>
        </w:rPr>
      </w:pPr>
      <w:r>
        <w:rPr>
          <w:lang w:val="hr-HR"/>
        </w:rPr>
        <w:t>ako ometa komunalnog redara u obavljanju njegove dužnosti,</w:t>
      </w:r>
    </w:p>
    <w:p>
      <w:pPr>
        <w:pStyle w:val="ListParagraph"/>
        <w:numPr>
          <w:ilvl w:val="0"/>
          <w:numId w:val="4"/>
        </w:numPr>
        <w:jc w:val="both"/>
        <w:rPr>
          <w:lang w:val="hr-HR"/>
        </w:rPr>
      </w:pPr>
      <w:r>
        <w:rPr>
          <w:lang w:val="hr-HR"/>
        </w:rPr>
        <w:t>ako ne postupa po uputi i rješenju komunalnog redara.</w:t>
      </w:r>
    </w:p>
    <w:p>
      <w:pPr>
        <w:pStyle w:val="Normal"/>
        <w:jc w:val="both"/>
        <w:rPr>
          <w:color w:val="000000"/>
        </w:rPr>
      </w:pPr>
      <w:r>
        <w:rPr>
          <w:color w:val="000000"/>
          <w:lang w:val="hr-HR"/>
        </w:rPr>
        <w:tab/>
        <w:t xml:space="preserve">Za prekršaj iz stavka 1. ovog članka novčanom kaznom u visini od </w:t>
      </w:r>
      <w:r>
        <w:rPr>
          <w:color w:val="000000"/>
          <w:lang w:val="hr-HR"/>
        </w:rPr>
        <w:t>100,00 EUR</w:t>
      </w:r>
      <w:r>
        <w:rPr>
          <w:color w:val="000000"/>
          <w:lang w:val="hr-HR"/>
        </w:rPr>
        <w:t xml:space="preserve"> kaznit će se odgovorna osoba u pravnoj osobi.</w:t>
      </w:r>
    </w:p>
    <w:p>
      <w:pPr>
        <w:pStyle w:val="Normal"/>
        <w:jc w:val="both"/>
        <w:rPr>
          <w:color w:val="000000"/>
          <w:lang w:val="hr-HR"/>
        </w:rPr>
      </w:pPr>
      <w:r>
        <w:rPr>
          <w:color w:val="000000"/>
          <w:lang w:val="hr-HR"/>
        </w:rPr>
      </w:r>
      <w:bookmarkStart w:id="0" w:name="_GoBack"/>
      <w:bookmarkStart w:id="1" w:name="_GoBack"/>
      <w:bookmarkEnd w:id="1"/>
    </w:p>
    <w:p>
      <w:pPr>
        <w:pStyle w:val="Normal"/>
        <w:jc w:val="center"/>
        <w:rPr>
          <w:color w:val="000000"/>
        </w:rPr>
      </w:pPr>
      <w:r>
        <w:rPr>
          <w:b/>
          <w:color w:val="000000"/>
          <w:lang w:val="hr-HR"/>
        </w:rPr>
        <w:t>Članak 47.</w:t>
      </w:r>
    </w:p>
    <w:p>
      <w:pPr>
        <w:pStyle w:val="Normal"/>
        <w:jc w:val="both"/>
        <w:rPr>
          <w:color w:val="000000"/>
        </w:rPr>
      </w:pPr>
      <w:r>
        <w:rPr>
          <w:color w:val="000000"/>
          <w:lang w:val="hr-HR"/>
        </w:rPr>
        <w:tab/>
        <w:t xml:space="preserve">Uz naredbu za poduzimanje potrebnih radnji za uspostavu komunalnog reda, komunalni redar je ovlašten na licu mjesta izreći novčanu kaznu fizičkoj osobi u visini od </w:t>
      </w:r>
      <w:r>
        <w:rPr>
          <w:color w:val="000000"/>
          <w:lang w:val="hr-HR"/>
        </w:rPr>
        <w:t>100,00</w:t>
      </w:r>
      <w:r>
        <w:rPr>
          <w:color w:val="000000"/>
          <w:lang w:val="hr-HR"/>
        </w:rPr>
        <w:t xml:space="preserve"> EUR, ako počini prekršaj iz članka 46. stavka 1. točke 1., 3., 4., 5., 6., 7., 8. ove Odluke, ako se odredbe odnose na fizičke osobe.</w:t>
      </w:r>
    </w:p>
    <w:p>
      <w:pPr>
        <w:pStyle w:val="Normal"/>
        <w:jc w:val="both"/>
        <w:rPr>
          <w:color w:val="000000"/>
        </w:rPr>
      </w:pPr>
      <w:r>
        <w:rPr>
          <w:color w:val="000000"/>
          <w:lang w:val="hr-HR"/>
        </w:rPr>
        <w:tab/>
        <w:t xml:space="preserve">Novčanom kaznom iz stavka 1. ovog članka će se kazniti odmah na licu mjesta </w:t>
      </w:r>
      <w:r>
        <w:rPr>
          <w:color w:val="000000"/>
          <w:lang w:val="hr-HR"/>
        </w:rPr>
        <w:t>fizičke osobe</w:t>
      </w:r>
      <w:r>
        <w:rPr>
          <w:color w:val="000000"/>
          <w:lang w:val="hr-HR"/>
        </w:rPr>
        <w:t>, ako se ne pridržava odredbi članka 5. i članka 9., alineje 1. ove Odluke.</w:t>
      </w:r>
    </w:p>
    <w:p>
      <w:pPr>
        <w:pStyle w:val="Normal"/>
        <w:jc w:val="both"/>
        <w:rPr>
          <w:lang w:val="hr-HR"/>
        </w:rPr>
      </w:pPr>
      <w:r>
        <w:rPr>
          <w:lang w:val="hr-HR"/>
        </w:rPr>
        <w:tab/>
        <w:t>Novčanu kaznu iz stavka 1. i 2. ovog članka naplaćuje komunalni redar.</w:t>
      </w:r>
    </w:p>
    <w:p>
      <w:pPr>
        <w:pStyle w:val="Normal"/>
        <w:rPr>
          <w:lang w:val="hr-HR"/>
        </w:rPr>
      </w:pPr>
      <w:r>
        <w:rPr>
          <w:lang w:val="hr-HR"/>
        </w:rPr>
      </w:r>
    </w:p>
    <w:p>
      <w:pPr>
        <w:pStyle w:val="Normal"/>
        <w:rPr>
          <w:b/>
          <w:b/>
          <w:lang w:val="hr-HR"/>
        </w:rPr>
      </w:pPr>
      <w:r>
        <w:rPr>
          <w:b/>
          <w:lang w:val="hr-HR"/>
        </w:rPr>
        <w:t>V. ZAVRŠNA ODREDBA</w:t>
      </w:r>
    </w:p>
    <w:p>
      <w:pPr>
        <w:pStyle w:val="Normal"/>
        <w:jc w:val="center"/>
        <w:rPr>
          <w:color w:val="000000"/>
        </w:rPr>
      </w:pPr>
      <w:r>
        <w:rPr>
          <w:b/>
          <w:color w:val="000000"/>
          <w:lang w:val="hr-HR"/>
        </w:rPr>
        <w:t>Članak 48.</w:t>
      </w:r>
    </w:p>
    <w:p>
      <w:pPr>
        <w:pStyle w:val="Normal"/>
        <w:jc w:val="both"/>
        <w:rPr>
          <w:b w:val="false"/>
          <w:b w:val="false"/>
          <w:bCs w:val="false"/>
          <w:color w:val="000000"/>
        </w:rPr>
      </w:pPr>
      <w:r>
        <w:rPr>
          <w:b w:val="false"/>
          <w:bCs w:val="false"/>
          <w:color w:val="000000"/>
          <w:lang w:val="hr-HR"/>
        </w:rPr>
        <w:tab/>
        <w:t xml:space="preserve">Stupanjem na snagu ove Odluke stavlja se van snage Odluka o </w:t>
      </w:r>
      <w:r>
        <w:rPr>
          <w:b w:val="false"/>
          <w:bCs w:val="false"/>
          <w:color w:val="000000"/>
          <w:lang w:val="hr-HR"/>
        </w:rPr>
        <w:t>komunalnom redu</w:t>
      </w:r>
      <w:r>
        <w:rPr>
          <w:b w:val="false"/>
          <w:bCs w:val="false"/>
          <w:color w:val="000000"/>
          <w:lang w:val="hr-HR"/>
        </w:rPr>
        <w:t xml:space="preserve"> (KLASA: 363-01/22-01/06, URBROJ: 2196-19-02-22-01, od 1</w:t>
      </w:r>
      <w:r>
        <w:rPr>
          <w:b w:val="false"/>
          <w:bCs w:val="false"/>
          <w:color w:val="000000"/>
          <w:lang w:val="hr-HR"/>
        </w:rPr>
        <w:t>5</w:t>
      </w:r>
      <w:r>
        <w:rPr>
          <w:b w:val="false"/>
          <w:bCs w:val="false"/>
          <w:color w:val="000000"/>
          <w:lang w:val="hr-HR"/>
        </w:rPr>
        <w:t>.0</w:t>
      </w:r>
      <w:r>
        <w:rPr>
          <w:b w:val="false"/>
          <w:bCs w:val="false"/>
          <w:color w:val="000000"/>
          <w:lang w:val="hr-HR"/>
        </w:rPr>
        <w:t>6</w:t>
      </w:r>
      <w:r>
        <w:rPr>
          <w:b w:val="false"/>
          <w:bCs w:val="false"/>
          <w:color w:val="000000"/>
          <w:lang w:val="hr-HR"/>
        </w:rPr>
        <w:t>.20</w:t>
      </w:r>
      <w:r>
        <w:rPr>
          <w:b w:val="false"/>
          <w:bCs w:val="false"/>
          <w:color w:val="000000"/>
          <w:lang w:val="hr-HR"/>
        </w:rPr>
        <w:t>22</w:t>
      </w:r>
      <w:r>
        <w:rPr>
          <w:b w:val="false"/>
          <w:bCs w:val="false"/>
          <w:color w:val="000000"/>
          <w:lang w:val="hr-HR"/>
        </w:rPr>
        <w:t>. godine).</w:t>
      </w:r>
    </w:p>
    <w:p>
      <w:pPr>
        <w:pStyle w:val="Normal"/>
        <w:jc w:val="center"/>
        <w:rPr>
          <w:color w:val="000000"/>
        </w:rPr>
      </w:pPr>
      <w:r>
        <w:rPr>
          <w:color w:val="000000"/>
        </w:rPr>
      </w:r>
    </w:p>
    <w:p>
      <w:pPr>
        <w:pStyle w:val="Normal"/>
        <w:jc w:val="center"/>
        <w:rPr>
          <w:color w:val="000000"/>
        </w:rPr>
      </w:pPr>
      <w:r>
        <w:rPr>
          <w:b/>
          <w:color w:val="000000"/>
          <w:lang w:val="hr-HR"/>
        </w:rPr>
        <w:t>Članak 49.</w:t>
      </w:r>
    </w:p>
    <w:p>
      <w:pPr>
        <w:pStyle w:val="Normal"/>
        <w:jc w:val="both"/>
        <w:rPr>
          <w:color w:val="000000"/>
        </w:rPr>
      </w:pPr>
      <w:r>
        <w:rPr>
          <w:color w:val="000000"/>
          <w:lang w:val="hr-HR"/>
        </w:rPr>
        <w:tab/>
        <w:t>Ova Odluka stupa na snagu osmog dana od dana objave u Službenom glasniku Općine Negoslavci, a objavit će se i na oglasnoj ploči Općine Negoslavci.</w:t>
      </w:r>
    </w:p>
    <w:p>
      <w:pPr>
        <w:pStyle w:val="Normal"/>
        <w:jc w:val="both"/>
        <w:rPr>
          <w:color w:val="000000"/>
          <w:lang w:val="hr-HR"/>
        </w:rPr>
      </w:pPr>
      <w:r>
        <w:rPr>
          <w:color w:val="000000"/>
          <w:lang w:val="hr-HR"/>
        </w:rPr>
      </w:r>
    </w:p>
    <w:p>
      <w:pPr>
        <w:pStyle w:val="Normal"/>
        <w:jc w:val="both"/>
        <w:rPr>
          <w:lang w:val="hr-HR"/>
        </w:rPr>
      </w:pPr>
      <w:r>
        <w:rPr>
          <w:lang w:val="hr-HR"/>
        </w:rPr>
      </w:r>
    </w:p>
    <w:p>
      <w:pPr>
        <w:pStyle w:val="Normal"/>
        <w:jc w:val="right"/>
        <w:rPr>
          <w:b/>
          <w:b/>
          <w:lang w:val="hr-HR"/>
        </w:rPr>
      </w:pPr>
      <w:r>
        <w:rPr>
          <w:b/>
          <w:lang w:val="hr-HR"/>
        </w:rPr>
        <w:t>PREDSJEDNIK OPĆINSKOG VIJEĆA:</w:t>
      </w:r>
    </w:p>
    <w:p>
      <w:pPr>
        <w:pStyle w:val="Normal"/>
        <w:jc w:val="right"/>
        <w:rPr>
          <w:lang w:val="hr-HR"/>
        </w:rPr>
      </w:pPr>
      <w:r>
        <w:rPr>
          <w:lang w:val="hr-HR"/>
        </w:rPr>
        <w:t>Miodrag Mišanović</w:t>
      </w:r>
    </w:p>
    <w:p>
      <w:pPr>
        <w:pStyle w:val="Normal"/>
        <w:rPr>
          <w:lang w:val="hr-HR"/>
        </w:rPr>
      </w:pPr>
      <w:r>
        <w:rPr>
          <w:lang w:val="hr-HR"/>
        </w:rPr>
        <w:tab/>
      </w:r>
    </w:p>
    <w:p>
      <w:pPr>
        <w:pStyle w:val="Normal"/>
        <w:rPr>
          <w:lang w:val="hr-HR"/>
        </w:rPr>
      </w:pPr>
      <w:r>
        <w:rPr>
          <w:lang w:val="hr-HR"/>
        </w:rPr>
      </w:r>
    </w:p>
    <w:p>
      <w:pPr>
        <w:pStyle w:val="Normal"/>
        <w:rPr>
          <w:lang w:val="hr-HR"/>
        </w:rPr>
      </w:pPr>
      <w:r>
        <w:rPr/>
      </w:r>
    </w:p>
    <w:sectPr>
      <w:footerReference w:type="default" r:id="rId3"/>
      <w:type w:val="nextPage"/>
      <w:pgSz w:w="12240" w:h="15840"/>
      <w:pgMar w:left="1440" w:right="1440" w:gutter="0" w:header="0"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egoe UI">
    <w:charset w:val="ee"/>
    <w:family w:val="roman"/>
    <w:pitch w:val="variable"/>
  </w:font>
  <w:font w:name="Liberation Sans">
    <w:altName w:val="Arial"/>
    <w:charset w:val="ee"/>
    <w:family w:val="roman"/>
    <w:pitch w:val="variable"/>
  </w:font>
  <w:font w:name="Calibri">
    <w:charset w:val="ee"/>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52958298"/>
    </w:sdtPr>
    <w:sdtContent>
      <w:p>
        <w:pPr>
          <w:pStyle w:val="Podnoje"/>
          <w:jc w:val="center"/>
          <w:rPr/>
        </w:pPr>
        <w:r>
          <w:rPr/>
          <w:fldChar w:fldCharType="begin"/>
        </w:r>
        <w:r>
          <w:rPr/>
          <w:instrText xml:space="preserve"> PAGE </w:instrText>
        </w:r>
        <w:r>
          <w:rPr/>
          <w:fldChar w:fldCharType="separate"/>
        </w:r>
        <w:r>
          <w:rPr/>
          <w:t>9</w:t>
        </w:r>
        <w:r>
          <w:rPr/>
          <w:fldChar w:fldCharType="end"/>
        </w:r>
      </w:p>
    </w:sdtContent>
  </w:sdt>
  <w:p>
    <w:pPr>
      <w:pStyle w:val="Podnoje"/>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bullet"/>
      <w:lvlText w:val="-"/>
      <w:lvlJc w:val="left"/>
      <w:pPr>
        <w:tabs>
          <w:tab w:val="num" w:pos="0"/>
        </w:tabs>
        <w:ind w:left="720" w:hanging="360"/>
      </w:pPr>
      <w:rPr>
        <w:rFonts w:ascii="Times New Roman" w:hAnsi="Times New Roman" w:cs="Times New Roman"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22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4"/>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imes New Roman" w:hAnsi="Times New Roman" w:eastAsia="Calibri" w:cs="" w:cstheme="minorBidi" w:eastAsiaTheme="minorHAnsi"/>
      <w:color w:val="auto"/>
      <w:kern w:val="0"/>
      <w:sz w:val="24"/>
      <w:szCs w:val="22"/>
      <w:lang w:val="en-US" w:eastAsia="en-US" w:bidi="ar-SA"/>
    </w:rPr>
  </w:style>
  <w:style w:type="character" w:styleId="DefaultParagraphFont" w:default="1">
    <w:name w:val="Default Paragraph Font"/>
    <w:uiPriority w:val="1"/>
    <w:semiHidden/>
    <w:unhideWhenUsed/>
    <w:qFormat/>
    <w:rPr/>
  </w:style>
  <w:style w:type="character" w:styleId="ZaglavljeChar" w:customStyle="1">
    <w:name w:val="Zaglavlje Char"/>
    <w:basedOn w:val="DefaultParagraphFont"/>
    <w:uiPriority w:val="99"/>
    <w:qFormat/>
    <w:rsid w:val="000937a3"/>
    <w:rPr/>
  </w:style>
  <w:style w:type="character" w:styleId="PodnojeChar" w:customStyle="1">
    <w:name w:val="Podnožje Char"/>
    <w:basedOn w:val="DefaultParagraphFont"/>
    <w:uiPriority w:val="99"/>
    <w:qFormat/>
    <w:rsid w:val="000937a3"/>
    <w:rPr/>
  </w:style>
  <w:style w:type="character" w:styleId="TekstbaloniaChar" w:customStyle="1">
    <w:name w:val="Tekst balončića Char"/>
    <w:basedOn w:val="DefaultParagraphFont"/>
    <w:link w:val="BalloonText"/>
    <w:uiPriority w:val="99"/>
    <w:semiHidden/>
    <w:qFormat/>
    <w:rsid w:val="006c66a4"/>
    <w:rPr>
      <w:rFonts w:ascii="Segoe UI" w:hAnsi="Segoe UI" w:cs="Segoe UI"/>
      <w:sz w:val="18"/>
      <w:szCs w:val="18"/>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pPr>
      <w:spacing w:lineRule="auto" w:line="276" w:before="0" w:after="140"/>
    </w:pPr>
    <w:rPr/>
  </w:style>
  <w:style w:type="paragraph" w:styleId="Popis">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lang w:val="zxx" w:eastAsia="zxx" w:bidi="zxx"/>
    </w:rPr>
  </w:style>
  <w:style w:type="paragraph" w:styleId="ListParagraph">
    <w:name w:val="List Paragraph"/>
    <w:basedOn w:val="Normal"/>
    <w:uiPriority w:val="34"/>
    <w:qFormat/>
    <w:rsid w:val="0036584d"/>
    <w:pPr>
      <w:spacing w:before="0" w:after="0"/>
      <w:ind w:left="720" w:hanging="0"/>
      <w:contextualSpacing/>
    </w:pPr>
    <w:rPr/>
  </w:style>
  <w:style w:type="paragraph" w:styleId="Zaglavljeipodnoje">
    <w:name w:val="Zaglavlje i podnožje"/>
    <w:basedOn w:val="Normal"/>
    <w:qFormat/>
    <w:pPr/>
    <w:rPr/>
  </w:style>
  <w:style w:type="paragraph" w:styleId="Zaglavlje">
    <w:name w:val="Header"/>
    <w:basedOn w:val="Normal"/>
    <w:link w:val="ZaglavljeChar"/>
    <w:uiPriority w:val="99"/>
    <w:unhideWhenUsed/>
    <w:rsid w:val="000937a3"/>
    <w:pPr>
      <w:tabs>
        <w:tab w:val="clear" w:pos="720"/>
        <w:tab w:val="center" w:pos="4680" w:leader="none"/>
        <w:tab w:val="right" w:pos="9360" w:leader="none"/>
      </w:tabs>
    </w:pPr>
    <w:rPr/>
  </w:style>
  <w:style w:type="paragraph" w:styleId="Podnoje">
    <w:name w:val="Footer"/>
    <w:basedOn w:val="Normal"/>
    <w:link w:val="PodnojeChar"/>
    <w:uiPriority w:val="99"/>
    <w:unhideWhenUsed/>
    <w:rsid w:val="000937a3"/>
    <w:pPr>
      <w:tabs>
        <w:tab w:val="clear" w:pos="720"/>
        <w:tab w:val="center" w:pos="4680" w:leader="none"/>
        <w:tab w:val="right" w:pos="9360" w:leader="none"/>
      </w:tabs>
    </w:pPr>
    <w:rPr/>
  </w:style>
  <w:style w:type="paragraph" w:styleId="BalloonText">
    <w:name w:val="Balloon Text"/>
    <w:basedOn w:val="Normal"/>
    <w:link w:val="TekstbaloniaChar"/>
    <w:uiPriority w:val="99"/>
    <w:semiHidden/>
    <w:unhideWhenUsed/>
    <w:qFormat/>
    <w:rsid w:val="006c66a4"/>
    <w:pPr/>
    <w:rPr>
      <w:rFonts w:ascii="Segoe UI" w:hAnsi="Segoe UI" w:cs="Segoe UI"/>
      <w:sz w:val="18"/>
      <w:szCs w:val="18"/>
    </w:rPr>
  </w:style>
  <w:style w:type="paragraph" w:styleId="NoSpacing">
    <w:name w:val="No Spacing"/>
    <w:uiPriority w:val="1"/>
    <w:qFormat/>
    <w:rsid w:val="00185ebb"/>
    <w:pPr>
      <w:widowControl/>
      <w:suppressAutoHyphens w:val="true"/>
      <w:bidi w:val="0"/>
      <w:spacing w:before="0" w:after="0"/>
      <w:jc w:val="left"/>
    </w:pPr>
    <w:rPr>
      <w:rFonts w:ascii="Calibri" w:hAnsi="Calibri" w:eastAsia="Calibri" w:cs="" w:asciiTheme="minorHAnsi" w:hAnsiTheme="minorHAnsi"/>
      <w:color w:val="auto"/>
      <w:kern w:val="0"/>
      <w:sz w:val="22"/>
      <w:szCs w:val="22"/>
      <w:lang w:val="hr-HR" w:eastAsia="en-US" w:bidi="ar-SA"/>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610</TotalTime>
  <Application>LibreOffice/7.4.1.2$Windows_X86_64 LibreOffice_project/3c58a8f3a960df8bc8fd77b461821e42c061c5f0</Application>
  <AppVersion>15.0000</AppVersion>
  <Pages>9</Pages>
  <Words>2542</Words>
  <Characters>14707</Characters>
  <CharactersWithSpaces>17079</CharactersWithSpaces>
  <Paragraphs>220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2022-05-17T12:56:00Z</dcterms:created>
  <dc:creator>Korisnik</dc:creator>
  <dc:description/>
  <dc:language>hr-HR</dc:language>
  <cp:lastModifiedBy/>
  <cp:lastPrinted>2022-06-14T08:27:00Z</cp:lastPrinted>
  <dcterms:modified xsi:type="dcterms:W3CDTF">2026-10-19T09:09:30Z</dcterms:modified>
  <cp:revision>54</cp:revision>
  <dc:subject/>
  <dc:title/>
</cp:coreProperties>
</file>

<file path=docProps/custom.xml><?xml version="1.0" encoding="utf-8"?>
<Properties xmlns="http://schemas.openxmlformats.org/officeDocument/2006/custom-properties" xmlns:vt="http://schemas.openxmlformats.org/officeDocument/2006/docPropsVTypes"/>
</file>