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240"/>
        <w:jc w:val="center"/>
        <w:rPr>
          <w:rFonts w:ascii="Times New Roman" w:hAnsi="Times New Roman"/>
        </w:rPr>
      </w:pPr>
      <w:r>
        <w:rPr>
          <w:rFonts w:ascii="Times New Roman" w:hAnsi="Times New Roman"/>
        </w:rPr>
        <w:drawing>
          <wp:inline distT="0" distB="0" distL="0" distR="0">
            <wp:extent cx="2255520" cy="2737485"/>
            <wp:effectExtent l="0" t="0" r="0" b="0"/>
            <wp:docPr id="1" name="Slika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2" descr=""/>
                    <pic:cNvPicPr>
                      <a:picLocks noChangeAspect="1" noChangeArrowheads="1"/>
                    </pic:cNvPicPr>
                  </pic:nvPicPr>
                  <pic:blipFill>
                    <a:blip r:embed="rId2"/>
                    <a:stretch>
                      <a:fillRect/>
                    </a:stretch>
                  </pic:blipFill>
                  <pic:spPr bwMode="auto">
                    <a:xfrm>
                      <a:off x="0" y="0"/>
                      <a:ext cx="2255520" cy="2737485"/>
                    </a:xfrm>
                    <a:prstGeom prst="rect">
                      <a:avLst/>
                    </a:prstGeom>
                  </pic:spPr>
                </pic:pic>
              </a:graphicData>
            </a:graphic>
          </wp:inline>
        </w:drawing>
      </w:r>
    </w:p>
    <w:p>
      <w:pPr>
        <w:pStyle w:val="Normal"/>
        <w:bidi w:val="0"/>
        <w:spacing w:lineRule="auto" w:line="240"/>
        <w:jc w:val="center"/>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Normal"/>
        <w:bidi w:val="0"/>
        <w:spacing w:lineRule="auto" w:line="240"/>
        <w:jc w:val="center"/>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Normal"/>
        <w:bidi w:val="0"/>
        <w:spacing w:lineRule="auto" w:line="240"/>
        <w:jc w:val="center"/>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Normal"/>
        <w:bidi w:val="0"/>
        <w:spacing w:lineRule="auto" w:line="240"/>
        <w:jc w:val="center"/>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Normal"/>
        <w:bidi w:val="0"/>
        <w:spacing w:lineRule="auto" w:line="240"/>
        <w:jc w:val="center"/>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Normal"/>
        <w:bidi w:val="0"/>
        <w:spacing w:lineRule="auto" w:line="240"/>
        <w:jc w:val="center"/>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Normal"/>
        <w:bidi w:val="0"/>
        <w:spacing w:lineRule="auto" w:line="240"/>
        <w:jc w:val="center"/>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Normal"/>
        <w:bidi w:val="0"/>
        <w:spacing w:lineRule="auto" w:line="240"/>
        <w:jc w:val="center"/>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Normal"/>
        <w:bidi w:val="0"/>
        <w:spacing w:lineRule="auto" w:line="240"/>
        <w:jc w:val="center"/>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Normal"/>
        <w:bidi w:val="0"/>
        <w:spacing w:lineRule="auto" w:line="240"/>
        <w:jc w:val="center"/>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Normal"/>
        <w:bidi w:val="0"/>
        <w:spacing w:lineRule="auto" w:line="240"/>
        <w:jc w:val="center"/>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Normal"/>
        <w:bidi w:val="0"/>
        <w:spacing w:lineRule="auto" w:line="240"/>
        <w:jc w:val="center"/>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Normal"/>
        <w:bidi w:val="0"/>
        <w:spacing w:lineRule="auto" w:line="240"/>
        <w:jc w:val="center"/>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Normal"/>
        <w:bidi w:val="0"/>
        <w:spacing w:lineRule="auto" w:line="240"/>
        <w:jc w:val="center"/>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Normal"/>
        <w:bidi w:val="0"/>
        <w:spacing w:lineRule="auto" w:line="240"/>
        <w:jc w:val="center"/>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Normal"/>
        <w:bidi w:val="0"/>
        <w:spacing w:lineRule="auto" w:line="240"/>
        <w:jc w:val="center"/>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Normal"/>
        <w:bidi w:val="0"/>
        <w:spacing w:lineRule="auto" w:line="240"/>
        <w:jc w:val="center"/>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Normal"/>
        <w:bidi w:val="0"/>
        <w:spacing w:lineRule="auto" w:line="240"/>
        <w:jc w:val="center"/>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Normal"/>
        <w:bidi w:val="0"/>
        <w:spacing w:lineRule="auto" w:line="240"/>
        <w:jc w:val="center"/>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Normal"/>
        <w:bidi w:val="0"/>
        <w:spacing w:lineRule="auto" w:line="240"/>
        <w:jc w:val="center"/>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Normal"/>
        <w:bidi w:val="0"/>
        <w:spacing w:lineRule="auto" w:line="240"/>
        <w:jc w:val="center"/>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Normal"/>
        <w:bidi w:val="0"/>
        <w:spacing w:lineRule="auto" w:line="240"/>
        <w:jc w:val="center"/>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Normal"/>
        <w:bidi w:val="0"/>
        <w:spacing w:lineRule="auto" w:line="240"/>
        <w:jc w:val="center"/>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Normal"/>
        <w:bidi w:val="0"/>
        <w:spacing w:lineRule="auto" w:line="240"/>
        <w:jc w:val="center"/>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Normal"/>
        <w:bidi w:val="0"/>
        <w:spacing w:lineRule="auto" w:line="240"/>
        <w:jc w:val="center"/>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Normal"/>
        <w:bidi w:val="0"/>
        <w:spacing w:lineRule="auto" w:line="240"/>
        <w:jc w:val="center"/>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Normal"/>
        <w:bidi w:val="0"/>
        <w:spacing w:lineRule="auto" w:line="240"/>
        <w:jc w:val="right"/>
        <w:rPr>
          <w:rFonts w:ascii="Times New Roman" w:hAnsi="Times New Roman"/>
        </w:rPr>
      </w:pPr>
      <w:r>
        <w:rPr>
          <w:rFonts w:eastAsia="Times New Roman" w:cs="Times New Roman" w:ascii="Times New Roman" w:hAnsi="Times New Roman"/>
          <w:sz w:val="24"/>
          <w:szCs w:val="24"/>
          <w:lang w:eastAsia="hr-HR"/>
        </w:rPr>
        <w:t>ISSN: 2757-3435</w:t>
      </w:r>
    </w:p>
    <w:p>
      <w:pPr>
        <w:pStyle w:val="Normal"/>
        <w:bidi w:val="0"/>
        <w:spacing w:lineRule="auto" w:line="240"/>
        <w:jc w:val="right"/>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Normal"/>
        <w:bidi w:val="0"/>
        <w:spacing w:lineRule="auto" w:line="240"/>
        <w:jc w:val="center"/>
        <w:rPr>
          <w:rFonts w:ascii="Times New Roman" w:hAnsi="Times New Roman"/>
        </w:rPr>
      </w:pPr>
      <w:r>
        <w:rPr>
          <w:rFonts w:eastAsia="Times New Roman" w:cs="Times New Roman" w:ascii="Times New Roman" w:hAnsi="Times New Roman"/>
          <w:sz w:val="24"/>
          <w:szCs w:val="24"/>
          <w:lang w:eastAsia="hr-HR"/>
        </w:rPr>
        <w:t>SLUŽBENI GLASNIK</w:t>
      </w:r>
    </w:p>
    <w:p>
      <w:pPr>
        <w:pStyle w:val="Normal"/>
        <w:bidi w:val="0"/>
        <w:spacing w:lineRule="auto" w:line="240"/>
        <w:jc w:val="center"/>
        <w:rPr>
          <w:rFonts w:ascii="Times New Roman" w:hAnsi="Times New Roman"/>
        </w:rPr>
      </w:pPr>
      <w:r>
        <w:rPr>
          <w:rFonts w:eastAsia="Times New Roman" w:cs="Times New Roman" w:ascii="Times New Roman" w:hAnsi="Times New Roman"/>
          <w:sz w:val="24"/>
          <w:szCs w:val="24"/>
          <w:lang w:eastAsia="hr-HR"/>
        </w:rPr>
        <w:t>OPĆINE NEGOSLAVCI</w:t>
      </w:r>
    </w:p>
    <w:p>
      <w:pPr>
        <w:pStyle w:val="Normal"/>
        <w:bidi w:val="0"/>
        <w:spacing w:lineRule="auto" w:line="240"/>
        <w:jc w:val="center"/>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Normal"/>
        <w:bidi w:val="0"/>
        <w:spacing w:lineRule="auto" w:line="240"/>
        <w:jc w:val="center"/>
        <w:rPr>
          <w:rFonts w:ascii="Times New Roman" w:hAnsi="Times New Roman"/>
        </w:rPr>
      </w:pPr>
      <w:r>
        <w:rPr>
          <w:rFonts w:eastAsia="Times New Roman" w:cs="Times New Roman" w:ascii="Times New Roman" w:hAnsi="Times New Roman"/>
          <w:sz w:val="24"/>
          <w:szCs w:val="24"/>
          <w:lang w:eastAsia="hr-HR"/>
        </w:rPr>
        <w:t>Broj 43. God. IV Negoslavci,</w:t>
      </w:r>
      <w:r>
        <w:rPr>
          <w:rFonts w:eastAsia="Times New Roman" w:cs="Times New Roman" w:ascii="Times New Roman" w:hAnsi="Times New Roman"/>
          <w:color w:val="000000"/>
          <w:sz w:val="24"/>
          <w:szCs w:val="24"/>
          <w:lang w:eastAsia="hr-HR"/>
        </w:rPr>
        <w:t xml:space="preserve"> 25.09.2</w:t>
      </w:r>
      <w:r>
        <w:rPr>
          <w:rFonts w:eastAsia="Times New Roman" w:cs="Times New Roman" w:ascii="Times New Roman" w:hAnsi="Times New Roman"/>
          <w:sz w:val="24"/>
          <w:szCs w:val="24"/>
          <w:lang w:eastAsia="hr-HR"/>
        </w:rPr>
        <w:t>026. godine</w:t>
      </w:r>
    </w:p>
    <w:p>
      <w:pPr>
        <w:pStyle w:val="Normal"/>
        <w:bidi w:val="0"/>
        <w:spacing w:lineRule="auto" w:line="240"/>
        <w:jc w:val="center"/>
        <w:rPr>
          <w:rFonts w:ascii="Times New Roman" w:hAnsi="Times New Roman"/>
        </w:rPr>
      </w:pPr>
      <w:r>
        <w:rPr>
          <w:rFonts w:eastAsia="Times New Roman" w:cs="Times New Roman" w:ascii="Times New Roman" w:hAnsi="Times New Roman"/>
          <w:sz w:val="24"/>
          <w:szCs w:val="24"/>
          <w:lang w:eastAsia="hr-HR"/>
        </w:rPr>
        <w:t>Izlazi prema potrebi</w:t>
      </w:r>
    </w:p>
    <w:p>
      <w:pPr>
        <w:pStyle w:val="Normal"/>
        <w:bidi w:val="0"/>
        <w:spacing w:lineRule="auto" w:line="240"/>
        <w:jc w:val="both"/>
        <w:rPr>
          <w:rFonts w:ascii="Times New Roman" w:hAnsi="Times New Roman"/>
          <w:sz w:val="24"/>
          <w:szCs w:val="24"/>
        </w:rPr>
      </w:pPr>
      <w:r>
        <w:rPr>
          <w:rFonts w:ascii="Times New Roman" w:hAnsi="Times New Roman"/>
          <w:sz w:val="24"/>
          <w:szCs w:val="24"/>
        </w:rPr>
      </w:r>
    </w:p>
    <w:p>
      <w:pPr>
        <w:pStyle w:val="Normal"/>
        <w:bidi w:val="0"/>
        <w:spacing w:lineRule="auto" w:line="240" w:beforeAutospacing="1" w:afterAutospacing="1"/>
        <w:jc w:val="center"/>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Normal"/>
        <w:bidi w:val="0"/>
        <w:spacing w:lineRule="auto" w:line="240" w:beforeAutospacing="1" w:afterAutospacing="1"/>
        <w:jc w:val="center"/>
        <w:rPr>
          <w:rFonts w:ascii="Times New Roman" w:hAnsi="Times New Roman"/>
        </w:rPr>
      </w:pPr>
      <w:r>
        <w:rPr>
          <w:rFonts w:eastAsia="Times New Roman" w:cs="Times New Roman" w:ascii="Times New Roman" w:hAnsi="Times New Roman"/>
          <w:b/>
          <w:bCs/>
          <w:sz w:val="24"/>
          <w:szCs w:val="24"/>
          <w:lang w:eastAsia="hr-HR"/>
        </w:rPr>
        <w:t>„</w:t>
      </w:r>
      <w:r>
        <w:rPr>
          <w:rFonts w:eastAsia="Times New Roman" w:cs="Times New Roman" w:ascii="Times New Roman" w:hAnsi="Times New Roman"/>
          <w:b/>
          <w:bCs/>
          <w:sz w:val="24"/>
          <w:szCs w:val="24"/>
          <w:lang w:eastAsia="hr-HR"/>
        </w:rPr>
        <w:t>SLUŽBENI GLASNIK OPĆINE NEGOSLAVCI“</w:t>
      </w:r>
    </w:p>
    <w:p>
      <w:pPr>
        <w:pStyle w:val="Normal"/>
        <w:bidi w:val="0"/>
        <w:spacing w:lineRule="auto" w:line="240" w:beforeAutospacing="1" w:afterAutospacing="1"/>
        <w:jc w:val="center"/>
        <w:rPr>
          <w:rFonts w:ascii="Times New Roman" w:hAnsi="Times New Roman" w:eastAsia="Times New Roman" w:cs="Times New Roman"/>
          <w:b/>
          <w:b/>
          <w:bCs/>
          <w:sz w:val="24"/>
          <w:szCs w:val="24"/>
          <w:lang w:eastAsia="hr-HR"/>
        </w:rPr>
      </w:pPr>
      <w:r>
        <w:rPr>
          <w:rFonts w:eastAsia="Times New Roman" w:cs="Times New Roman" w:ascii="Times New Roman" w:hAnsi="Times New Roman"/>
          <w:b/>
          <w:bCs/>
          <w:sz w:val="24"/>
          <w:szCs w:val="24"/>
          <w:lang w:eastAsia="hr-HR"/>
        </w:rPr>
      </w:r>
    </w:p>
    <w:p>
      <w:pPr>
        <w:pStyle w:val="Normal"/>
        <w:bidi w:val="0"/>
        <w:spacing w:lineRule="auto" w:line="240" w:beforeAutospacing="1" w:afterAutospacing="1"/>
        <w:jc w:val="center"/>
        <w:rPr>
          <w:rFonts w:ascii="Times New Roman" w:hAnsi="Times New Roman"/>
        </w:rPr>
      </w:pPr>
      <w:r>
        <w:rPr>
          <w:rFonts w:eastAsia="Times New Roman" w:cs="Times New Roman" w:ascii="Times New Roman" w:hAnsi="Times New Roman"/>
          <w:b/>
          <w:bCs/>
          <w:sz w:val="24"/>
          <w:szCs w:val="24"/>
          <w:lang w:eastAsia="hr-HR"/>
        </w:rPr>
        <w:t>Nakladnik – Općina Negoslavci</w:t>
      </w:r>
    </w:p>
    <w:p>
      <w:pPr>
        <w:pStyle w:val="Normal"/>
        <w:bidi w:val="0"/>
        <w:spacing w:lineRule="auto" w:line="240" w:beforeAutospacing="1" w:afterAutospacing="1"/>
        <w:jc w:val="center"/>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Normal"/>
        <w:bidi w:val="0"/>
        <w:spacing w:lineRule="auto" w:line="240" w:beforeAutospacing="1" w:afterAutospacing="1"/>
        <w:jc w:val="center"/>
        <w:rPr>
          <w:rFonts w:ascii="Times New Roman" w:hAnsi="Times New Roman"/>
        </w:rPr>
      </w:pPr>
      <w:r>
        <w:rPr>
          <w:rFonts w:eastAsia="Times New Roman" w:cs="Times New Roman" w:ascii="Times New Roman" w:hAnsi="Times New Roman"/>
          <w:sz w:val="24"/>
          <w:szCs w:val="24"/>
          <w:lang w:eastAsia="hr-HR"/>
        </w:rPr>
        <w:t>Uredništvo:</w:t>
      </w:r>
    </w:p>
    <w:p>
      <w:pPr>
        <w:pStyle w:val="Normal"/>
        <w:bidi w:val="0"/>
        <w:spacing w:lineRule="auto" w:line="240" w:beforeAutospacing="1" w:afterAutospacing="1"/>
        <w:jc w:val="center"/>
        <w:rPr>
          <w:rFonts w:ascii="Times New Roman" w:hAnsi="Times New Roman"/>
        </w:rPr>
      </w:pPr>
      <w:r>
        <w:rPr>
          <w:rFonts w:eastAsia="Times New Roman" w:cs="Times New Roman" w:ascii="Times New Roman" w:hAnsi="Times New Roman"/>
          <w:sz w:val="24"/>
          <w:szCs w:val="24"/>
          <w:lang w:eastAsia="hr-HR"/>
        </w:rPr>
        <w:t>Općinski načelnik: Dušan Jeckov – glavni i odgovorni urednik</w:t>
      </w:r>
    </w:p>
    <w:p>
      <w:pPr>
        <w:pStyle w:val="Normal"/>
        <w:bidi w:val="0"/>
        <w:spacing w:lineRule="auto" w:line="240" w:beforeAutospacing="1" w:afterAutospacing="1"/>
        <w:jc w:val="center"/>
        <w:rPr>
          <w:rFonts w:ascii="Times New Roman" w:hAnsi="Times New Roman"/>
        </w:rPr>
      </w:pPr>
      <w:r>
        <w:rPr>
          <w:rFonts w:eastAsia="Times New Roman" w:cs="Times New Roman" w:ascii="Times New Roman" w:hAnsi="Times New Roman"/>
          <w:sz w:val="24"/>
          <w:szCs w:val="24"/>
          <w:lang w:eastAsia="hr-HR"/>
        </w:rPr>
        <w:t>Privremena Pročelnica Jedinstvenog upravnog odjela: Sanja Sredojević</w:t>
      </w:r>
    </w:p>
    <w:p>
      <w:pPr>
        <w:pStyle w:val="Normal"/>
        <w:bidi w:val="0"/>
        <w:spacing w:lineRule="auto" w:line="240" w:beforeAutospacing="1" w:afterAutospacing="1"/>
        <w:ind w:left="720" w:hanging="0"/>
        <w:jc w:val="center"/>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Normal"/>
        <w:bidi w:val="0"/>
        <w:spacing w:lineRule="auto" w:line="240" w:beforeAutospacing="1" w:afterAutospacing="1"/>
        <w:jc w:val="center"/>
        <w:rPr>
          <w:rFonts w:ascii="Times New Roman" w:hAnsi="Times New Roman"/>
        </w:rPr>
      </w:pPr>
      <w:r>
        <w:rPr>
          <w:rFonts w:eastAsia="Times New Roman" w:cs="Times New Roman" w:ascii="Times New Roman" w:hAnsi="Times New Roman"/>
          <w:sz w:val="24"/>
          <w:szCs w:val="24"/>
          <w:lang w:eastAsia="hr-HR"/>
        </w:rPr>
        <w:t>Negoslavci, Vukovarska 7, 32 239 Negoslavci, Republika Hrvatska</w:t>
      </w:r>
    </w:p>
    <w:p>
      <w:pPr>
        <w:pStyle w:val="Normal"/>
        <w:bidi w:val="0"/>
        <w:spacing w:lineRule="auto" w:line="240" w:beforeAutospacing="1" w:afterAutospacing="1"/>
        <w:jc w:val="center"/>
        <w:rPr>
          <w:rFonts w:ascii="Times New Roman" w:hAnsi="Times New Roman"/>
        </w:rPr>
      </w:pPr>
      <w:r>
        <w:rPr>
          <w:rFonts w:eastAsia="Times New Roman" w:cs="Times New Roman" w:ascii="Times New Roman" w:hAnsi="Times New Roman"/>
          <w:sz w:val="24"/>
          <w:szCs w:val="24"/>
          <w:lang w:eastAsia="hr-HR"/>
        </w:rPr>
        <w:t>Telefon: 032/517-054</w:t>
      </w:r>
    </w:p>
    <w:p>
      <w:pPr>
        <w:pStyle w:val="Normal"/>
        <w:bidi w:val="0"/>
        <w:spacing w:lineRule="auto" w:line="240" w:beforeAutospacing="1" w:afterAutospacing="1"/>
        <w:jc w:val="center"/>
        <w:rPr>
          <w:rFonts w:ascii="Times New Roman" w:hAnsi="Times New Roman"/>
        </w:rPr>
      </w:pPr>
      <w:r>
        <w:rPr>
          <w:rFonts w:eastAsia="Times New Roman" w:cs="Times New Roman" w:ascii="Times New Roman" w:hAnsi="Times New Roman"/>
          <w:sz w:val="24"/>
          <w:szCs w:val="24"/>
          <w:lang w:eastAsia="hr-HR"/>
        </w:rPr>
        <w:t>Fax: 032/517-054</w:t>
      </w:r>
    </w:p>
    <w:p>
      <w:pPr>
        <w:pStyle w:val="Normal"/>
        <w:bidi w:val="0"/>
        <w:spacing w:lineRule="auto" w:line="240" w:beforeAutospacing="1" w:afterAutospacing="1"/>
        <w:jc w:val="center"/>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Normal"/>
        <w:bidi w:val="0"/>
        <w:spacing w:lineRule="auto" w:line="240" w:beforeAutospacing="1" w:afterAutospacing="1"/>
        <w:jc w:val="center"/>
        <w:rPr/>
      </w:pPr>
      <w:r>
        <w:rPr>
          <w:rFonts w:eastAsia="Times New Roman" w:cs="Times New Roman" w:ascii="Times New Roman" w:hAnsi="Times New Roman"/>
          <w:sz w:val="24"/>
          <w:szCs w:val="24"/>
          <w:lang w:eastAsia="hr-HR"/>
        </w:rPr>
        <w:t xml:space="preserve">e-mail: </w:t>
      </w:r>
      <w:hyperlink r:id="rId3">
        <w:r>
          <w:rPr>
            <w:rFonts w:eastAsia="Times New Roman" w:cs="Times New Roman" w:ascii="Times New Roman" w:hAnsi="Times New Roman"/>
            <w:color w:val="0000FF"/>
            <w:sz w:val="24"/>
            <w:szCs w:val="24"/>
            <w:u w:val="single"/>
            <w:lang w:eastAsia="hr-HR"/>
          </w:rPr>
          <w:t>opcina.negoslavci@gmail.com</w:t>
        </w:r>
      </w:hyperlink>
      <w:r>
        <w:rPr>
          <w:rFonts w:eastAsia="Times New Roman" w:cs="Times New Roman" w:ascii="Times New Roman" w:hAnsi="Times New Roman"/>
          <w:sz w:val="24"/>
          <w:szCs w:val="24"/>
          <w:lang w:eastAsia="hr-HR"/>
        </w:rPr>
        <w:t xml:space="preserve"> </w:t>
      </w:r>
    </w:p>
    <w:p>
      <w:pPr>
        <w:pStyle w:val="Normal"/>
        <w:bidi w:val="0"/>
        <w:spacing w:lineRule="auto" w:line="240" w:beforeAutospacing="1" w:afterAutospacing="1"/>
        <w:jc w:val="center"/>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Normal"/>
        <w:bidi w:val="0"/>
        <w:spacing w:lineRule="auto" w:line="240" w:beforeAutospacing="1" w:afterAutospacing="1"/>
        <w:jc w:val="center"/>
        <w:rPr>
          <w:rFonts w:ascii="Times New Roman" w:hAnsi="Times New Roman"/>
        </w:rPr>
      </w:pPr>
      <w:r>
        <w:rPr>
          <w:rFonts w:eastAsia="Times New Roman" w:cs="Times New Roman" w:ascii="Times New Roman" w:hAnsi="Times New Roman"/>
          <w:b/>
          <w:bCs/>
          <w:sz w:val="24"/>
          <w:szCs w:val="24"/>
          <w:lang w:eastAsia="hr-HR"/>
        </w:rPr>
        <w:t>Izlazi prema potrebi</w:t>
      </w:r>
    </w:p>
    <w:p>
      <w:pPr>
        <w:pStyle w:val="Normal"/>
        <w:bidi w:val="0"/>
        <w:spacing w:lineRule="auto" w:line="240"/>
        <w:jc w:val="center"/>
        <w:rPr>
          <w:rFonts w:ascii="Times New Roman" w:hAnsi="Times New Roman"/>
          <w:sz w:val="24"/>
          <w:szCs w:val="24"/>
        </w:rPr>
      </w:pPr>
      <w:r>
        <w:rPr>
          <w:rFonts w:ascii="Times New Roman" w:hAnsi="Times New Roman"/>
          <w:sz w:val="24"/>
          <w:szCs w:val="24"/>
        </w:rPr>
      </w:r>
    </w:p>
    <w:p>
      <w:pPr>
        <w:pStyle w:val="Normal"/>
        <w:bidi w:val="0"/>
        <w:spacing w:lineRule="auto" w:line="240"/>
        <w:jc w:val="center"/>
        <w:rPr>
          <w:rFonts w:ascii="Times New Roman" w:hAnsi="Times New Roman"/>
          <w:sz w:val="24"/>
          <w:szCs w:val="24"/>
        </w:rPr>
      </w:pPr>
      <w:r>
        <w:rPr>
          <w:rFonts w:ascii="Times New Roman" w:hAnsi="Times New Roman"/>
          <w:sz w:val="24"/>
          <w:szCs w:val="24"/>
        </w:rPr>
      </w:r>
    </w:p>
    <w:p>
      <w:pPr>
        <w:pStyle w:val="Normal"/>
        <w:bidi w:val="0"/>
        <w:spacing w:lineRule="auto" w:line="240"/>
        <w:jc w:val="center"/>
        <w:rPr>
          <w:rFonts w:ascii="Times New Roman" w:hAnsi="Times New Roman"/>
          <w:sz w:val="24"/>
          <w:szCs w:val="24"/>
        </w:rPr>
      </w:pPr>
      <w:r>
        <w:rPr>
          <w:rFonts w:ascii="Times New Roman" w:hAnsi="Times New Roman"/>
          <w:sz w:val="24"/>
          <w:szCs w:val="24"/>
        </w:rPr>
      </w:r>
    </w:p>
    <w:p>
      <w:pPr>
        <w:pStyle w:val="Normal"/>
        <w:bidi w:val="0"/>
        <w:spacing w:lineRule="auto" w:line="240"/>
        <w:jc w:val="center"/>
        <w:rPr>
          <w:rFonts w:ascii="Times New Roman" w:hAnsi="Times New Roman"/>
          <w:sz w:val="24"/>
          <w:szCs w:val="24"/>
        </w:rPr>
      </w:pPr>
      <w:r>
        <w:rPr>
          <w:rFonts w:ascii="Times New Roman" w:hAnsi="Times New Roman"/>
          <w:sz w:val="24"/>
          <w:szCs w:val="24"/>
        </w:rPr>
      </w:r>
    </w:p>
    <w:p>
      <w:pPr>
        <w:pStyle w:val="Normal"/>
        <w:bidi w:val="0"/>
        <w:spacing w:lineRule="auto" w:line="240"/>
        <w:jc w:val="center"/>
        <w:rPr>
          <w:rFonts w:ascii="Times New Roman" w:hAnsi="Times New Roman"/>
          <w:sz w:val="24"/>
          <w:szCs w:val="24"/>
        </w:rPr>
      </w:pPr>
      <w:r>
        <w:rPr>
          <w:rFonts w:ascii="Times New Roman" w:hAnsi="Times New Roman"/>
          <w:sz w:val="24"/>
          <w:szCs w:val="24"/>
        </w:rPr>
      </w:r>
    </w:p>
    <w:p>
      <w:pPr>
        <w:pStyle w:val="Normal"/>
        <w:bidi w:val="0"/>
        <w:spacing w:lineRule="auto" w:line="240"/>
        <w:jc w:val="center"/>
        <w:rPr>
          <w:rFonts w:ascii="Times New Roman" w:hAnsi="Times New Roman"/>
          <w:sz w:val="24"/>
          <w:szCs w:val="24"/>
        </w:rPr>
      </w:pPr>
      <w:r>
        <w:rPr>
          <w:rFonts w:ascii="Times New Roman" w:hAnsi="Times New Roman"/>
          <w:sz w:val="24"/>
          <w:szCs w:val="24"/>
        </w:rPr>
      </w:r>
    </w:p>
    <w:p>
      <w:pPr>
        <w:pStyle w:val="Normal"/>
        <w:bidi w:val="0"/>
        <w:spacing w:lineRule="auto" w:line="240"/>
        <w:jc w:val="center"/>
        <w:rPr>
          <w:rFonts w:ascii="Times New Roman" w:hAnsi="Times New Roman"/>
          <w:sz w:val="24"/>
          <w:szCs w:val="24"/>
        </w:rPr>
      </w:pPr>
      <w:r>
        <w:rPr>
          <w:rFonts w:ascii="Times New Roman" w:hAnsi="Times New Roman"/>
          <w:sz w:val="24"/>
          <w:szCs w:val="24"/>
        </w:rPr>
      </w:r>
    </w:p>
    <w:p>
      <w:pPr>
        <w:pStyle w:val="Normal"/>
        <w:bidi w:val="0"/>
        <w:spacing w:lineRule="auto" w:line="240"/>
        <w:jc w:val="center"/>
        <w:rPr>
          <w:rFonts w:ascii="Times New Roman" w:hAnsi="Times New Roman"/>
          <w:sz w:val="24"/>
          <w:szCs w:val="24"/>
        </w:rPr>
      </w:pPr>
      <w:r>
        <w:rPr>
          <w:rFonts w:ascii="Times New Roman" w:hAnsi="Times New Roman"/>
          <w:sz w:val="24"/>
          <w:szCs w:val="24"/>
        </w:rPr>
      </w:r>
    </w:p>
    <w:p>
      <w:pPr>
        <w:pStyle w:val="Normal"/>
        <w:bidi w:val="0"/>
        <w:spacing w:lineRule="auto" w:line="240"/>
        <w:jc w:val="center"/>
        <w:rPr>
          <w:rFonts w:ascii="Times New Roman" w:hAnsi="Times New Roman"/>
          <w:sz w:val="24"/>
          <w:szCs w:val="24"/>
        </w:rPr>
      </w:pPr>
      <w:r>
        <w:rPr>
          <w:rFonts w:ascii="Times New Roman" w:hAnsi="Times New Roman"/>
          <w:sz w:val="24"/>
          <w:szCs w:val="24"/>
        </w:rPr>
      </w:r>
    </w:p>
    <w:p>
      <w:pPr>
        <w:pStyle w:val="Normal"/>
        <w:bidi w:val="0"/>
        <w:spacing w:lineRule="auto" w:line="240"/>
        <w:jc w:val="center"/>
        <w:rPr>
          <w:rFonts w:ascii="Times New Roman" w:hAnsi="Times New Roman"/>
          <w:sz w:val="24"/>
          <w:szCs w:val="24"/>
        </w:rPr>
      </w:pPr>
      <w:r>
        <w:rPr>
          <w:rFonts w:ascii="Times New Roman" w:hAnsi="Times New Roman"/>
          <w:sz w:val="24"/>
          <w:szCs w:val="24"/>
        </w:rPr>
      </w:r>
    </w:p>
    <w:p>
      <w:pPr>
        <w:pStyle w:val="Normal"/>
        <w:bidi w:val="0"/>
        <w:spacing w:lineRule="auto" w:line="240"/>
        <w:jc w:val="center"/>
        <w:rPr>
          <w:rFonts w:ascii="Times New Roman" w:hAnsi="Times New Roman"/>
          <w:sz w:val="24"/>
          <w:szCs w:val="24"/>
        </w:rPr>
      </w:pPr>
      <w:r>
        <w:rPr>
          <w:rFonts w:ascii="Times New Roman" w:hAnsi="Times New Roman"/>
          <w:sz w:val="24"/>
          <w:szCs w:val="24"/>
        </w:rPr>
      </w:r>
    </w:p>
    <w:p>
      <w:pPr>
        <w:pStyle w:val="Normal"/>
        <w:bidi w:val="0"/>
        <w:spacing w:lineRule="auto" w:line="240"/>
        <w:jc w:val="center"/>
        <w:rPr>
          <w:rFonts w:ascii="Times New Roman" w:hAnsi="Times New Roman"/>
          <w:sz w:val="24"/>
          <w:szCs w:val="24"/>
        </w:rPr>
      </w:pPr>
      <w:r>
        <w:rPr>
          <w:rFonts w:ascii="Times New Roman" w:hAnsi="Times New Roman"/>
          <w:sz w:val="24"/>
          <w:szCs w:val="24"/>
        </w:rPr>
      </w:r>
    </w:p>
    <w:p>
      <w:pPr>
        <w:pStyle w:val="Normal"/>
        <w:bidi w:val="0"/>
        <w:spacing w:lineRule="auto" w:line="240"/>
        <w:jc w:val="center"/>
        <w:rPr>
          <w:rFonts w:ascii="Times New Roman" w:hAnsi="Times New Roman"/>
          <w:sz w:val="24"/>
          <w:szCs w:val="24"/>
        </w:rPr>
      </w:pPr>
      <w:r>
        <w:rPr>
          <w:rFonts w:ascii="Times New Roman" w:hAnsi="Times New Roman"/>
          <w:sz w:val="24"/>
          <w:szCs w:val="24"/>
        </w:rPr>
      </w:r>
    </w:p>
    <w:p>
      <w:pPr>
        <w:pStyle w:val="Normal"/>
        <w:bidi w:val="0"/>
        <w:spacing w:lineRule="auto" w:line="240"/>
        <w:jc w:val="center"/>
        <w:rPr>
          <w:rFonts w:ascii="Times New Roman" w:hAnsi="Times New Roman"/>
          <w:sz w:val="24"/>
          <w:szCs w:val="24"/>
        </w:rPr>
      </w:pPr>
      <w:r>
        <w:rPr>
          <w:rFonts w:ascii="Times New Roman" w:hAnsi="Times New Roman"/>
          <w:sz w:val="24"/>
          <w:szCs w:val="24"/>
        </w:rPr>
      </w:r>
    </w:p>
    <w:p>
      <w:pPr>
        <w:pStyle w:val="Normal"/>
        <w:bidi w:val="0"/>
        <w:spacing w:lineRule="auto" w:line="240"/>
        <w:jc w:val="center"/>
        <w:rPr>
          <w:rFonts w:ascii="Times New Roman" w:hAnsi="Times New Roman"/>
          <w:sz w:val="24"/>
          <w:szCs w:val="24"/>
        </w:rPr>
      </w:pPr>
      <w:r>
        <w:rPr>
          <w:rFonts w:ascii="Times New Roman" w:hAnsi="Times New Roman"/>
          <w:sz w:val="24"/>
          <w:szCs w:val="24"/>
        </w:rPr>
      </w:r>
    </w:p>
    <w:p>
      <w:pPr>
        <w:pStyle w:val="Normal"/>
        <w:bidi w:val="0"/>
        <w:spacing w:lineRule="auto" w:line="240"/>
        <w:jc w:val="center"/>
        <w:rPr>
          <w:rFonts w:ascii="Times New Roman" w:hAnsi="Times New Roman"/>
          <w:sz w:val="24"/>
          <w:szCs w:val="24"/>
        </w:rPr>
      </w:pPr>
      <w:r>
        <w:rPr>
          <w:rFonts w:ascii="Times New Roman" w:hAnsi="Times New Roman"/>
          <w:sz w:val="24"/>
          <w:szCs w:val="24"/>
        </w:rPr>
      </w:r>
    </w:p>
    <w:p>
      <w:pPr>
        <w:pStyle w:val="Normal"/>
        <w:bidi w:val="0"/>
        <w:spacing w:lineRule="auto" w:line="240"/>
        <w:jc w:val="center"/>
        <w:rPr>
          <w:rFonts w:ascii="Times New Roman" w:hAnsi="Times New Roman"/>
          <w:sz w:val="24"/>
          <w:szCs w:val="24"/>
        </w:rPr>
      </w:pPr>
      <w:r>
        <w:rPr>
          <w:rFonts w:ascii="Times New Roman" w:hAnsi="Times New Roman"/>
          <w:sz w:val="24"/>
          <w:szCs w:val="24"/>
        </w:rPr>
      </w:r>
    </w:p>
    <w:p>
      <w:pPr>
        <w:pStyle w:val="Normal"/>
        <w:bidi w:val="0"/>
        <w:spacing w:lineRule="auto" w:line="240"/>
        <w:jc w:val="center"/>
        <w:rPr>
          <w:rFonts w:ascii="Times New Roman" w:hAnsi="Times New Roman"/>
          <w:sz w:val="24"/>
          <w:szCs w:val="24"/>
        </w:rPr>
      </w:pPr>
      <w:r>
        <w:rPr>
          <w:rFonts w:ascii="Times New Roman" w:hAnsi="Times New Roman"/>
          <w:sz w:val="24"/>
          <w:szCs w:val="24"/>
        </w:rPr>
      </w:r>
    </w:p>
    <w:p>
      <w:pPr>
        <w:pStyle w:val="Normal"/>
        <w:bidi w:val="0"/>
        <w:spacing w:lineRule="auto" w:line="240"/>
        <w:jc w:val="center"/>
        <w:rPr>
          <w:rFonts w:ascii="Times New Roman" w:hAnsi="Times New Roman"/>
        </w:rPr>
      </w:pPr>
      <w:r>
        <w:rPr>
          <w:rFonts w:eastAsia="Times New Roman" w:cs="Times New Roman" w:ascii="Times New Roman" w:hAnsi="Times New Roman"/>
          <w:b/>
          <w:sz w:val="24"/>
          <w:szCs w:val="24"/>
          <w:lang w:eastAsia="hr-HR"/>
        </w:rPr>
        <w:t>KAZALO</w:t>
      </w:r>
    </w:p>
    <w:p>
      <w:pPr>
        <w:pStyle w:val="Normal"/>
        <w:jc w:val="center"/>
        <w:rPr>
          <w:rFonts w:ascii="Times New Roman" w:hAnsi="Times New Roman"/>
        </w:rPr>
      </w:pPr>
      <w:r>
        <w:rPr>
          <w:rFonts w:ascii="Times New Roman" w:hAnsi="Times New Roman"/>
          <w:b/>
          <w:bCs/>
        </w:rPr>
        <w:t>AKTI OPĆINSKOG VIJEĆA</w:t>
      </w:r>
    </w:p>
    <w:p>
      <w:pPr>
        <w:pStyle w:val="Normal"/>
        <w:jc w:val="left"/>
        <w:rPr>
          <w:rFonts w:ascii="Times New Roman" w:hAnsi="Times New Roman"/>
        </w:rPr>
      </w:pPr>
      <w:r>
        <w:rPr>
          <w:rFonts w:ascii="Times New Roman" w:hAnsi="Times New Roman"/>
        </w:rPr>
        <w:t>Odluka o usvajanju polugodišnjeg izvještaja o izvršenju proračuna Općine Negoslavci za 2026. godinu ...........................................................................................................................................4</w:t>
      </w:r>
    </w:p>
    <w:p>
      <w:pPr>
        <w:pStyle w:val="Normal"/>
        <w:jc w:val="left"/>
        <w:rPr>
          <w:rFonts w:ascii="Times New Roman" w:hAnsi="Times New Roman"/>
        </w:rPr>
      </w:pPr>
      <w:r>
        <w:rPr>
          <w:rFonts w:ascii="Times New Roman" w:hAnsi="Times New Roman"/>
        </w:rPr>
        <w:t>Polugodišnji izvještaj o izvršenju proračuna Općine Negoslavci za 2026. godinu ......................</w:t>
      </w:r>
      <w:r>
        <w:rPr>
          <w:rFonts w:ascii="Times New Roman" w:hAnsi="Times New Roman"/>
        </w:rPr>
        <w:t>5</w:t>
      </w:r>
    </w:p>
    <w:p>
      <w:pPr>
        <w:pStyle w:val="Normal"/>
        <w:jc w:val="left"/>
        <w:rPr>
          <w:rFonts w:ascii="Times New Roman" w:hAnsi="Times New Roman"/>
        </w:rPr>
      </w:pPr>
      <w:r>
        <w:rPr>
          <w:rFonts w:ascii="Times New Roman" w:hAnsi="Times New Roman"/>
        </w:rPr>
        <w:t xml:space="preserve">Obrazloženje Polugodišnjeg izvještaja o izvršenju proračuna </w:t>
      </w:r>
    </w:p>
    <w:p>
      <w:pPr>
        <w:pStyle w:val="Normal"/>
        <w:jc w:val="left"/>
        <w:rPr>
          <w:rFonts w:ascii="Times New Roman" w:hAnsi="Times New Roman"/>
        </w:rPr>
      </w:pPr>
      <w:r>
        <w:rPr>
          <w:rFonts w:ascii="Times New Roman" w:hAnsi="Times New Roman"/>
        </w:rPr>
        <w:t>Općine Negoslavci za 2026. godinu ...........................................................................................21</w:t>
      </w:r>
    </w:p>
    <w:p>
      <w:pPr>
        <w:pStyle w:val="Normal"/>
        <w:jc w:val="left"/>
        <w:rPr>
          <w:rFonts w:ascii="Times New Roman" w:hAnsi="Times New Roman"/>
        </w:rPr>
      </w:pPr>
      <w:r>
        <w:rPr>
          <w:rFonts w:ascii="Times New Roman" w:hAnsi="Times New Roman"/>
        </w:rPr>
        <w:t>Odluka o prijedlogu za imenovanje mrtvozornika na području Općine Negoslavci ..................</w:t>
      </w:r>
      <w:r>
        <w:rPr>
          <w:rFonts w:ascii="Times New Roman" w:hAnsi="Times New Roman"/>
        </w:rPr>
        <w:t>23</w:t>
      </w:r>
    </w:p>
    <w:p>
      <w:pPr>
        <w:pStyle w:val="Normal"/>
        <w:jc w:val="left"/>
        <w:rPr>
          <w:rFonts w:ascii="Times New Roman" w:hAnsi="Times New Roman"/>
        </w:rPr>
      </w:pPr>
      <w:r>
        <w:rPr>
          <w:rFonts w:ascii="Times New Roman" w:hAnsi="Times New Roman"/>
        </w:rPr>
        <w:t>Odluka o izmjenama i dopunama Odluke o komunalnom redu ..................................................24</w:t>
      </w:r>
    </w:p>
    <w:p>
      <w:pPr>
        <w:pStyle w:val="Normal"/>
        <w:jc w:val="left"/>
        <w:rPr>
          <w:rFonts w:ascii="Times New Roman" w:hAnsi="Times New Roman"/>
        </w:rPr>
      </w:pPr>
      <w:r>
        <w:rPr>
          <w:rFonts w:ascii="Times New Roman" w:hAnsi="Times New Roman"/>
        </w:rPr>
        <w:t>Odluka o komunalnom redu – pročišćeni tekst - ........................................................................25</w:t>
      </w:r>
    </w:p>
    <w:p>
      <w:pPr>
        <w:pStyle w:val="Normal"/>
        <w:jc w:val="left"/>
        <w:rPr>
          <w:rFonts w:ascii="Times New Roman" w:hAnsi="Times New Roman"/>
        </w:rPr>
      </w:pPr>
      <w:r>
        <w:rPr>
          <w:rFonts w:ascii="Times New Roman" w:hAnsi="Times New Roman"/>
        </w:rPr>
        <w:t>Odluka o spječavanju odbacivanja otpada na području Općine Negoslavci ...............................33</w:t>
      </w:r>
    </w:p>
    <w:p>
      <w:pPr>
        <w:pStyle w:val="Normal"/>
        <w:jc w:val="left"/>
        <w:rPr>
          <w:rFonts w:ascii="Times New Roman" w:hAnsi="Times New Roman"/>
        </w:rPr>
      </w:pPr>
      <w:r>
        <w:rPr>
          <w:rFonts w:ascii="Times New Roman" w:hAnsi="Times New Roman"/>
        </w:rPr>
      </w:r>
    </w:p>
    <w:p>
      <w:pPr>
        <w:pStyle w:val="Normal"/>
        <w:jc w:val="center"/>
        <w:rPr>
          <w:rFonts w:ascii="Times New Roman" w:hAnsi="Times New Roman"/>
          <w:b/>
          <w:b/>
          <w:bCs/>
        </w:rPr>
      </w:pPr>
      <w:r>
        <w:rPr>
          <w:rFonts w:ascii="Times New Roman" w:hAnsi="Times New Roman"/>
          <w:b/>
          <w:bCs/>
        </w:rPr>
      </w:r>
    </w:p>
    <w:p>
      <w:pPr>
        <w:pStyle w:val="Normal"/>
        <w:jc w:val="center"/>
        <w:rPr>
          <w:rFonts w:ascii="Times New Roman" w:hAnsi="Times New Roman"/>
          <w:b/>
          <w:b/>
          <w:bCs/>
        </w:rPr>
      </w:pPr>
      <w:r>
        <w:rPr>
          <w:rFonts w:ascii="Times New Roman" w:hAnsi="Times New Roman"/>
          <w:b/>
          <w:bCs/>
        </w:rPr>
      </w:r>
    </w:p>
    <w:p>
      <w:pPr>
        <w:pStyle w:val="Normal"/>
        <w:jc w:val="left"/>
        <w:rPr>
          <w:rFonts w:ascii="Times New Roman" w:hAnsi="Times New Roman"/>
          <w:b w:val="false"/>
          <w:b w:val="false"/>
          <w:bCs w:val="false"/>
        </w:rPr>
      </w:pPr>
      <w:r>
        <w:rPr>
          <w:rFonts w:ascii="Times New Roman" w:hAnsi="Times New Roman"/>
          <w:b w:val="false"/>
          <w:bCs w:val="false"/>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jc w:val="center"/>
        <w:rPr>
          <w:rFonts w:ascii="Times New Roman" w:hAnsi="Times New Roman"/>
        </w:rPr>
      </w:pPr>
      <w:r>
        <w:rPr>
          <w:rFonts w:ascii="Times New Roman" w:hAnsi="Times New Roman"/>
        </w:rPr>
      </w:r>
    </w:p>
    <w:p>
      <w:pPr>
        <w:pStyle w:val="Normal"/>
        <w:bidi w:val="0"/>
        <w:jc w:val="center"/>
        <w:rPr>
          <w:rFonts w:ascii="Times New Roman" w:hAnsi="Times New Roman"/>
          <w:b/>
          <w:b/>
          <w:bCs/>
        </w:rPr>
      </w:pPr>
      <w:r>
        <w:rPr>
          <w:rFonts w:ascii="Times New Roman" w:hAnsi="Times New Roman"/>
          <w:b/>
          <w:bCs/>
        </w:rPr>
      </w:r>
    </w:p>
    <w:p>
      <w:pPr>
        <w:pStyle w:val="Normal"/>
        <w:bidi w:val="0"/>
        <w:jc w:val="left"/>
        <w:rPr>
          <w:rFonts w:ascii="Times New Roman" w:hAnsi="Times New Roman"/>
          <w:color w:val="000000"/>
        </w:rPr>
      </w:pPr>
      <w:r>
        <w:rPr>
          <w:rFonts w:ascii="Times New Roman" w:hAnsi="Times New Roman"/>
          <w:color w:val="000000"/>
        </w:rPr>
      </w:r>
    </w:p>
    <w:p>
      <w:pPr>
        <w:pStyle w:val="Normal"/>
        <w:bidi w:val="0"/>
        <w:jc w:val="left"/>
        <w:rPr>
          <w:rFonts w:ascii="Times New Roman" w:hAnsi="Times New Roman"/>
        </w:rPr>
      </w:pPr>
      <w:r>
        <w:rPr>
          <w:rFonts w:ascii="Times New Roman" w:hAnsi="Times New Roman"/>
        </w:rPr>
      </w:r>
    </w:p>
    <w:p>
      <w:pPr>
        <w:pStyle w:val="Normal"/>
        <w:bidi w:val="0"/>
        <w:jc w:val="both"/>
        <w:rPr>
          <w:rFonts w:ascii="Times New Roman" w:hAnsi="Times New Roman"/>
          <w:lang w:val="hr-HR"/>
        </w:rPr>
      </w:pPr>
      <w:r>
        <w:rPr>
          <w:rFonts w:ascii="Times New Roman" w:hAnsi="Times New Roman"/>
          <w:lang w:val="hr-HR"/>
        </w:rPr>
      </w:r>
    </w:p>
    <w:p>
      <w:pPr>
        <w:pStyle w:val="Normal"/>
        <w:bidi w:val="0"/>
        <w:jc w:val="both"/>
        <w:rPr>
          <w:rFonts w:ascii="Times New Roman" w:hAnsi="Times New Roman"/>
          <w:lang w:val="hr-HR"/>
        </w:rPr>
      </w:pPr>
      <w:r>
        <w:rPr>
          <w:rFonts w:ascii="Times New Roman" w:hAnsi="Times New Roman"/>
          <w:lang w:val="hr-HR"/>
        </w:rPr>
      </w:r>
    </w:p>
    <w:p>
      <w:pPr>
        <w:pStyle w:val="Normal"/>
        <w:bidi w:val="0"/>
        <w:jc w:val="both"/>
        <w:rPr>
          <w:rFonts w:ascii="Times New Roman" w:hAnsi="Times New Roman"/>
          <w:lang w:val="hr-HR"/>
        </w:rPr>
      </w:pPr>
      <w:r>
        <w:rPr>
          <w:rFonts w:ascii="Times New Roman" w:hAnsi="Times New Roman"/>
          <w:lang w:val="hr-HR"/>
        </w:rPr>
      </w:r>
    </w:p>
    <w:p>
      <w:pPr>
        <w:pStyle w:val="Normal"/>
        <w:bidi w:val="0"/>
        <w:jc w:val="both"/>
        <w:rPr>
          <w:rFonts w:ascii="Times New Roman" w:hAnsi="Times New Roman"/>
          <w:lang w:val="hr-HR"/>
        </w:rPr>
      </w:pPr>
      <w:r>
        <w:rPr>
          <w:rFonts w:ascii="Times New Roman" w:hAnsi="Times New Roman"/>
          <w:lang w:val="hr-HR"/>
        </w:rPr>
      </w:r>
    </w:p>
    <w:p>
      <w:pPr>
        <w:pStyle w:val="Normal"/>
        <w:bidi w:val="0"/>
        <w:jc w:val="both"/>
        <w:rPr>
          <w:rFonts w:ascii="Times New Roman" w:hAnsi="Times New Roman"/>
          <w:lang w:val="hr-HR"/>
        </w:rPr>
      </w:pPr>
      <w:r>
        <w:rPr>
          <w:rFonts w:ascii="Times New Roman" w:hAnsi="Times New Roman"/>
          <w:lang w:val="hr-HR"/>
        </w:rPr>
      </w:r>
    </w:p>
    <w:p>
      <w:pPr>
        <w:pStyle w:val="Normal"/>
        <w:bidi w:val="0"/>
        <w:jc w:val="both"/>
        <w:rPr>
          <w:rFonts w:ascii="Times New Roman" w:hAnsi="Times New Roman"/>
          <w:lang w:val="hr-HR"/>
        </w:rPr>
      </w:pPr>
      <w:r>
        <w:rPr>
          <w:rFonts w:ascii="Times New Roman" w:hAnsi="Times New Roman"/>
          <w:lang w:val="hr-HR"/>
        </w:rPr>
      </w:r>
    </w:p>
    <w:p>
      <w:pPr>
        <w:pStyle w:val="Normal"/>
        <w:bidi w:val="0"/>
        <w:jc w:val="both"/>
        <w:rPr>
          <w:rFonts w:ascii="Times New Roman" w:hAnsi="Times New Roman"/>
          <w:lang w:val="hr-HR"/>
        </w:rPr>
      </w:pPr>
      <w:r>
        <w:rPr>
          <w:rFonts w:ascii="Times New Roman" w:hAnsi="Times New Roman"/>
          <w:lang w:val="hr-HR"/>
        </w:rPr>
      </w:r>
    </w:p>
    <w:p>
      <w:pPr>
        <w:pStyle w:val="Normal"/>
        <w:bidi w:val="0"/>
        <w:jc w:val="both"/>
        <w:rPr>
          <w:rFonts w:ascii="Times New Roman" w:hAnsi="Times New Roman"/>
          <w:lang w:val="hr-HR"/>
        </w:rPr>
      </w:pPr>
      <w:r>
        <w:rPr>
          <w:rFonts w:ascii="Times New Roman" w:hAnsi="Times New Roman"/>
          <w:lang w:val="hr-HR"/>
        </w:rPr>
      </w:r>
    </w:p>
    <w:p>
      <w:pPr>
        <w:pStyle w:val="Normal"/>
        <w:bidi w:val="0"/>
        <w:jc w:val="both"/>
        <w:rPr>
          <w:rFonts w:ascii="Times New Roman" w:hAnsi="Times New Roman"/>
          <w:lang w:val="hr-HR"/>
        </w:rPr>
      </w:pPr>
      <w:r>
        <w:rPr>
          <w:rFonts w:ascii="Times New Roman" w:hAnsi="Times New Roman"/>
          <w:lang w:val="hr-HR"/>
        </w:rPr>
      </w:r>
    </w:p>
    <w:p>
      <w:pPr>
        <w:pStyle w:val="Normal"/>
        <w:bidi w:val="0"/>
        <w:jc w:val="both"/>
        <w:rPr>
          <w:rFonts w:ascii="Times New Roman" w:hAnsi="Times New Roman"/>
          <w:lang w:val="hr-HR"/>
        </w:rPr>
      </w:pPr>
      <w:r>
        <w:rPr>
          <w:rFonts w:ascii="Times New Roman" w:hAnsi="Times New Roman"/>
          <w:lang w:val="hr-HR"/>
        </w:rPr>
      </w:r>
    </w:p>
    <w:p>
      <w:pPr>
        <w:pStyle w:val="Normal"/>
        <w:bidi w:val="0"/>
        <w:jc w:val="both"/>
        <w:rPr>
          <w:rFonts w:ascii="Times New Roman" w:hAnsi="Times New Roman"/>
          <w:lang w:val="hr-HR"/>
        </w:rPr>
      </w:pPr>
      <w:r>
        <w:rPr>
          <w:rFonts w:ascii="Times New Roman" w:hAnsi="Times New Roman"/>
          <w:lang w:val="hr-HR"/>
        </w:rPr>
      </w:r>
    </w:p>
    <w:p>
      <w:pPr>
        <w:pStyle w:val="Normal"/>
        <w:bidi w:val="0"/>
        <w:jc w:val="both"/>
        <w:rPr>
          <w:rFonts w:ascii="Times New Roman" w:hAnsi="Times New Roman"/>
          <w:lang w:val="hr-HR"/>
        </w:rPr>
      </w:pPr>
      <w:r>
        <w:rPr>
          <w:rFonts w:ascii="Times New Roman" w:hAnsi="Times New Roman"/>
          <w:lang w:val="hr-HR"/>
        </w:rPr>
      </w:r>
    </w:p>
    <w:p>
      <w:pPr>
        <w:pStyle w:val="Normal"/>
        <w:bidi w:val="0"/>
        <w:jc w:val="both"/>
        <w:rPr>
          <w:rFonts w:ascii="Times New Roman" w:hAnsi="Times New Roman"/>
          <w:lang w:val="hr-HR"/>
        </w:rPr>
      </w:pPr>
      <w:r>
        <w:rPr>
          <w:rFonts w:ascii="Times New Roman" w:hAnsi="Times New Roman"/>
          <w:lang w:val="hr-HR"/>
        </w:rPr>
      </w:r>
    </w:p>
    <w:p>
      <w:pPr>
        <w:pStyle w:val="Normal"/>
        <w:bidi w:val="0"/>
        <w:jc w:val="both"/>
        <w:rPr>
          <w:rFonts w:ascii="Times New Roman" w:hAnsi="Times New Roman"/>
          <w:lang w:val="hr-HR"/>
        </w:rPr>
      </w:pPr>
      <w:r>
        <w:rPr>
          <w:rFonts w:ascii="Times New Roman" w:hAnsi="Times New Roman"/>
          <w:lang w:val="hr-HR"/>
        </w:rPr>
      </w:r>
    </w:p>
    <w:p>
      <w:pPr>
        <w:pStyle w:val="Normal"/>
        <w:bidi w:val="0"/>
        <w:jc w:val="both"/>
        <w:rPr>
          <w:rFonts w:ascii="Times New Roman" w:hAnsi="Times New Roman"/>
          <w:lang w:val="hr-HR"/>
        </w:rPr>
      </w:pPr>
      <w:r>
        <w:rPr>
          <w:rFonts w:ascii="Times New Roman" w:hAnsi="Times New Roman"/>
          <w:lang w:val="hr-HR"/>
        </w:rPr>
      </w:r>
    </w:p>
    <w:p>
      <w:pPr>
        <w:pStyle w:val="Normal"/>
        <w:bidi w:val="0"/>
        <w:jc w:val="both"/>
        <w:rPr>
          <w:rFonts w:ascii="Times New Roman" w:hAnsi="Times New Roman"/>
          <w:lang w:val="hr-HR"/>
        </w:rPr>
      </w:pPr>
      <w:r>
        <w:rPr>
          <w:rFonts w:ascii="Times New Roman" w:hAnsi="Times New Roman"/>
          <w:lang w:val="hr-HR"/>
        </w:rPr>
      </w:r>
    </w:p>
    <w:p>
      <w:pPr>
        <w:pStyle w:val="Normal"/>
        <w:bidi w:val="0"/>
        <w:jc w:val="both"/>
        <w:rPr>
          <w:rFonts w:ascii="Times New Roman" w:hAnsi="Times New Roman"/>
          <w:lang w:val="hr-HR"/>
        </w:rPr>
      </w:pPr>
      <w:r>
        <w:rPr>
          <w:rFonts w:ascii="Times New Roman" w:hAnsi="Times New Roman"/>
          <w:lang w:val="hr-HR"/>
        </w:rPr>
      </w:r>
    </w:p>
    <w:p>
      <w:pPr>
        <w:pStyle w:val="Normal"/>
        <w:bidi w:val="0"/>
        <w:jc w:val="both"/>
        <w:rPr>
          <w:rFonts w:ascii="Times New Roman" w:hAnsi="Times New Roman"/>
          <w:lang w:val="hr-HR"/>
        </w:rPr>
      </w:pPr>
      <w:r>
        <w:rPr>
          <w:rFonts w:ascii="Times New Roman" w:hAnsi="Times New Roman"/>
          <w:lang w:val="hr-HR"/>
        </w:rPr>
      </w:r>
    </w:p>
    <w:p>
      <w:pPr>
        <w:pStyle w:val="Normal"/>
        <w:bidi w:val="0"/>
        <w:jc w:val="both"/>
        <w:rPr>
          <w:rFonts w:ascii="Times New Roman" w:hAnsi="Times New Roman"/>
          <w:lang w:val="hr-HR"/>
        </w:rPr>
      </w:pPr>
      <w:r>
        <w:rPr>
          <w:rFonts w:ascii="Times New Roman" w:hAnsi="Times New Roman"/>
          <w:lang w:val="hr-HR"/>
        </w:rPr>
      </w:r>
    </w:p>
    <w:p>
      <w:pPr>
        <w:pStyle w:val="Normal"/>
        <w:bidi w:val="0"/>
        <w:jc w:val="both"/>
        <w:rPr>
          <w:rFonts w:ascii="Times New Roman" w:hAnsi="Times New Roman"/>
          <w:lang w:val="hr-HR"/>
        </w:rPr>
      </w:pPr>
      <w:r>
        <w:rPr>
          <w:rFonts w:ascii="Times New Roman" w:hAnsi="Times New Roman"/>
          <w:lang w:val="hr-HR"/>
        </w:rPr>
      </w:r>
    </w:p>
    <w:p>
      <w:pPr>
        <w:pStyle w:val="Normal"/>
        <w:bidi w:val="0"/>
        <w:jc w:val="both"/>
        <w:rPr>
          <w:rFonts w:ascii="Times New Roman" w:hAnsi="Times New Roman"/>
        </w:rPr>
      </w:pPr>
      <w:r>
        <w:rPr>
          <w:rFonts w:ascii="Times New Roman" w:hAnsi="Times New Roman"/>
          <w:lang w:val="hr-HR"/>
        </w:rPr>
        <w:br/>
      </w:r>
    </w:p>
    <w:p>
      <w:pPr>
        <w:pStyle w:val="Normal"/>
        <w:bidi w:val="0"/>
        <w:jc w:val="both"/>
        <w:rPr>
          <w:rFonts w:ascii="Times New Roman" w:hAnsi="Times New Roman"/>
          <w:lang w:val="hr-HR"/>
        </w:rPr>
      </w:pPr>
      <w:r>
        <w:rPr>
          <w:rFonts w:ascii="Times New Roman" w:hAnsi="Times New Roman"/>
          <w:lang w:val="hr-HR"/>
        </w:rPr>
      </w:r>
    </w:p>
    <w:p>
      <w:pPr>
        <w:pStyle w:val="Normal"/>
        <w:bidi w:val="0"/>
        <w:jc w:val="both"/>
        <w:rPr>
          <w:rFonts w:ascii="Times New Roman" w:hAnsi="Times New Roman"/>
          <w:lang w:val="hr-HR"/>
        </w:rPr>
      </w:pPr>
      <w:r>
        <w:rPr>
          <w:rFonts w:ascii="Times New Roman" w:hAnsi="Times New Roman"/>
          <w:lang w:val="hr-HR"/>
        </w:rPr>
      </w:r>
    </w:p>
    <w:p>
      <w:pPr>
        <w:pStyle w:val="Normal"/>
        <w:bidi w:val="0"/>
        <w:jc w:val="both"/>
        <w:rPr>
          <w:rFonts w:ascii="Times New Roman" w:hAnsi="Times New Roman"/>
          <w:lang w:val="hr-HR"/>
        </w:rPr>
      </w:pPr>
      <w:r>
        <w:rPr>
          <w:rFonts w:ascii="Times New Roman" w:hAnsi="Times New Roman"/>
          <w:lang w:val="hr-HR"/>
        </w:rPr>
      </w:r>
    </w:p>
    <w:p>
      <w:pPr>
        <w:pStyle w:val="Normal"/>
        <w:bidi w:val="0"/>
        <w:jc w:val="both"/>
        <w:rPr>
          <w:rFonts w:ascii="Times New Roman" w:hAnsi="Times New Roman"/>
          <w:lang w:val="hr-HR"/>
        </w:rPr>
      </w:pPr>
      <w:r>
        <w:rPr>
          <w:rFonts w:ascii="Times New Roman" w:hAnsi="Times New Roman"/>
          <w:lang w:val="hr-HR"/>
        </w:rPr>
      </w:r>
    </w:p>
    <w:p>
      <w:pPr>
        <w:pStyle w:val="Normal"/>
        <w:bidi w:val="0"/>
        <w:jc w:val="both"/>
        <w:rPr>
          <w:rFonts w:ascii="Times New Roman" w:hAnsi="Times New Roman"/>
          <w:lang w:val="hr-HR"/>
        </w:rPr>
      </w:pPr>
      <w:r>
        <w:rPr>
          <w:rFonts w:ascii="Times New Roman" w:hAnsi="Times New Roman"/>
          <w:lang w:val="hr-HR"/>
        </w:rPr>
      </w:r>
    </w:p>
    <w:p>
      <w:pPr>
        <w:pStyle w:val="Normal"/>
        <w:bidi w:val="0"/>
        <w:jc w:val="both"/>
        <w:rPr>
          <w:rFonts w:ascii="Times New Roman" w:hAnsi="Times New Roman"/>
          <w:lang w:val="hr-HR"/>
        </w:rPr>
      </w:pPr>
      <w:r>
        <w:rPr>
          <w:rFonts w:ascii="Times New Roman" w:hAnsi="Times New Roman"/>
          <w:lang w:val="hr-HR"/>
        </w:rPr>
      </w:r>
    </w:p>
    <w:p>
      <w:pPr>
        <w:pStyle w:val="Normal"/>
        <w:bidi w:val="0"/>
        <w:jc w:val="both"/>
        <w:rPr>
          <w:rFonts w:ascii="Times New Roman" w:hAnsi="Times New Roman"/>
        </w:rPr>
      </w:pPr>
      <w:r>
        <w:rPr>
          <w:rFonts w:ascii="Times New Roman" w:hAnsi="Times New Roman"/>
          <w:color w:val="000000"/>
          <w:lang w:val="hr-HR"/>
        </w:rPr>
        <w:tab/>
        <w:t>Na temelju članka 76. Zakona o proračunu („Narodne novine“ broj 144/21) i članka 19., stavka 1., točke 2. i 8. Statuta Općine Negoslavci („Službeni glasnik Općine Negoslavci“ broj 04/25), Općinsko vijeće Općine Negoslavci na svojoj redovnoj sjednici održanoj dana 24.09.2026. godine donosi</w:t>
      </w:r>
    </w:p>
    <w:p>
      <w:pPr>
        <w:pStyle w:val="Normal"/>
        <w:bidi w:val="0"/>
        <w:jc w:val="left"/>
        <w:rPr>
          <w:rFonts w:ascii="Times New Roman" w:hAnsi="Times New Roman"/>
          <w:color w:val="000000"/>
          <w:lang w:val="hr-HR"/>
        </w:rPr>
      </w:pPr>
      <w:r>
        <w:rPr>
          <w:rFonts w:ascii="Times New Roman" w:hAnsi="Times New Roman"/>
          <w:color w:val="000000"/>
          <w:lang w:val="hr-HR"/>
        </w:rPr>
      </w:r>
    </w:p>
    <w:p>
      <w:pPr>
        <w:pStyle w:val="Normal"/>
        <w:bidi w:val="0"/>
        <w:jc w:val="center"/>
        <w:rPr>
          <w:rFonts w:ascii="Times New Roman" w:hAnsi="Times New Roman"/>
        </w:rPr>
      </w:pPr>
      <w:r>
        <w:rPr>
          <w:rFonts w:ascii="Times New Roman" w:hAnsi="Times New Roman"/>
          <w:b/>
          <w:lang w:val="hr-HR"/>
        </w:rPr>
        <w:t>ODLUKU</w:t>
      </w:r>
    </w:p>
    <w:p>
      <w:pPr>
        <w:pStyle w:val="Normal"/>
        <w:bidi w:val="0"/>
        <w:jc w:val="center"/>
        <w:rPr>
          <w:rFonts w:ascii="Times New Roman" w:hAnsi="Times New Roman"/>
        </w:rPr>
      </w:pPr>
      <w:r>
        <w:rPr>
          <w:rFonts w:ascii="Times New Roman" w:hAnsi="Times New Roman"/>
          <w:b/>
          <w:lang w:val="hr-HR"/>
        </w:rPr>
        <w:t>o usvajanju polugodišnjeg izvještaja o izvršenju proračuna Općine Negoslavci za 2026. godinu</w:t>
      </w:r>
    </w:p>
    <w:p>
      <w:pPr>
        <w:pStyle w:val="Normal"/>
        <w:bidi w:val="0"/>
        <w:jc w:val="center"/>
        <w:rPr>
          <w:rFonts w:ascii="Times New Roman" w:hAnsi="Times New Roman"/>
          <w:b/>
          <w:b/>
          <w:lang w:val="hr-HR"/>
        </w:rPr>
      </w:pPr>
      <w:r>
        <w:rPr>
          <w:rFonts w:ascii="Times New Roman" w:hAnsi="Times New Roman"/>
          <w:b/>
          <w:lang w:val="hr-HR"/>
        </w:rPr>
      </w:r>
    </w:p>
    <w:p>
      <w:pPr>
        <w:pStyle w:val="Normal"/>
        <w:bidi w:val="0"/>
        <w:jc w:val="center"/>
        <w:rPr>
          <w:rFonts w:ascii="Times New Roman" w:hAnsi="Times New Roman"/>
        </w:rPr>
      </w:pPr>
      <w:r>
        <w:rPr>
          <w:rFonts w:ascii="Times New Roman" w:hAnsi="Times New Roman"/>
          <w:b/>
          <w:lang w:val="hr-HR"/>
        </w:rPr>
        <w:t>Članak 1.</w:t>
      </w:r>
    </w:p>
    <w:p>
      <w:pPr>
        <w:pStyle w:val="Normal"/>
        <w:bidi w:val="0"/>
        <w:jc w:val="both"/>
        <w:rPr>
          <w:rFonts w:ascii="Times New Roman" w:hAnsi="Times New Roman"/>
        </w:rPr>
      </w:pPr>
      <w:r>
        <w:rPr>
          <w:rFonts w:ascii="Times New Roman" w:hAnsi="Times New Roman"/>
          <w:lang w:val="hr-HR"/>
        </w:rPr>
        <w:tab/>
        <w:t>Usvaja se polugodišnji izvještaj o izvršenju proračuna Općine Negoslavci za 2026. godinu.</w:t>
      </w:r>
    </w:p>
    <w:p>
      <w:pPr>
        <w:pStyle w:val="Normal"/>
        <w:bidi w:val="0"/>
        <w:jc w:val="left"/>
        <w:rPr>
          <w:rFonts w:ascii="Times New Roman" w:hAnsi="Times New Roman"/>
          <w:lang w:val="hr-HR"/>
        </w:rPr>
      </w:pPr>
      <w:r>
        <w:rPr>
          <w:rFonts w:ascii="Times New Roman" w:hAnsi="Times New Roman"/>
          <w:lang w:val="hr-HR"/>
        </w:rPr>
      </w:r>
    </w:p>
    <w:p>
      <w:pPr>
        <w:pStyle w:val="Normal"/>
        <w:bidi w:val="0"/>
        <w:jc w:val="center"/>
        <w:rPr>
          <w:rFonts w:ascii="Times New Roman" w:hAnsi="Times New Roman"/>
        </w:rPr>
      </w:pPr>
      <w:r>
        <w:rPr>
          <w:rFonts w:ascii="Times New Roman" w:hAnsi="Times New Roman"/>
          <w:b/>
          <w:lang w:val="hr-HR"/>
        </w:rPr>
        <w:t>Članak 2.</w:t>
      </w:r>
    </w:p>
    <w:p>
      <w:pPr>
        <w:pStyle w:val="Normal"/>
        <w:bidi w:val="0"/>
        <w:jc w:val="both"/>
        <w:rPr>
          <w:rFonts w:ascii="Times New Roman" w:hAnsi="Times New Roman"/>
        </w:rPr>
      </w:pPr>
      <w:r>
        <w:rPr>
          <w:rFonts w:ascii="Times New Roman" w:hAnsi="Times New Roman"/>
          <w:lang w:val="hr-HR"/>
        </w:rPr>
        <w:tab/>
        <w:t>Izvještaj se sastoji od:</w:t>
      </w:r>
    </w:p>
    <w:p>
      <w:pPr>
        <w:pStyle w:val="Normal"/>
        <w:bidi w:val="0"/>
        <w:jc w:val="both"/>
        <w:rPr>
          <w:rFonts w:ascii="Times New Roman" w:hAnsi="Times New Roman"/>
        </w:rPr>
      </w:pPr>
      <w:r>
        <w:rPr>
          <w:rFonts w:ascii="Times New Roman" w:hAnsi="Times New Roman"/>
          <w:lang w:val="hr-HR"/>
        </w:rPr>
        <w:t>I Općeg dijela,</w:t>
      </w:r>
    </w:p>
    <w:p>
      <w:pPr>
        <w:pStyle w:val="Normal"/>
        <w:bidi w:val="0"/>
        <w:jc w:val="both"/>
        <w:rPr>
          <w:rFonts w:ascii="Times New Roman" w:hAnsi="Times New Roman"/>
        </w:rPr>
      </w:pPr>
      <w:r>
        <w:rPr>
          <w:rFonts w:ascii="Times New Roman" w:hAnsi="Times New Roman"/>
          <w:lang w:val="hr-HR"/>
        </w:rPr>
        <w:t>II Posebnog dijela.</w:t>
      </w:r>
    </w:p>
    <w:p>
      <w:pPr>
        <w:pStyle w:val="Normal"/>
        <w:bidi w:val="0"/>
        <w:jc w:val="left"/>
        <w:rPr>
          <w:rFonts w:ascii="Times New Roman" w:hAnsi="Times New Roman"/>
          <w:lang w:val="hr-HR"/>
        </w:rPr>
      </w:pPr>
      <w:r>
        <w:rPr>
          <w:rFonts w:ascii="Times New Roman" w:hAnsi="Times New Roman"/>
          <w:lang w:val="hr-HR"/>
        </w:rPr>
      </w:r>
    </w:p>
    <w:p>
      <w:pPr>
        <w:pStyle w:val="Normal"/>
        <w:bidi w:val="0"/>
        <w:jc w:val="center"/>
        <w:rPr>
          <w:rFonts w:ascii="Times New Roman" w:hAnsi="Times New Roman"/>
        </w:rPr>
      </w:pPr>
      <w:r>
        <w:rPr>
          <w:rFonts w:ascii="Times New Roman" w:hAnsi="Times New Roman"/>
          <w:b/>
          <w:lang w:val="hr-HR"/>
        </w:rPr>
        <w:t>Članak 3.</w:t>
      </w:r>
    </w:p>
    <w:p>
      <w:pPr>
        <w:pStyle w:val="Normal"/>
        <w:bidi w:val="0"/>
        <w:jc w:val="both"/>
        <w:rPr>
          <w:rFonts w:ascii="Times New Roman" w:hAnsi="Times New Roman"/>
        </w:rPr>
      </w:pPr>
      <w:r>
        <w:rPr>
          <w:rFonts w:ascii="Times New Roman" w:hAnsi="Times New Roman"/>
          <w:lang w:val="hr-HR"/>
        </w:rPr>
        <w:tab/>
        <w:t>Pismeni se izvještaj prilaže uz ovu Odluku i predstavlja njezin sastavni dio.</w:t>
      </w:r>
    </w:p>
    <w:p>
      <w:pPr>
        <w:pStyle w:val="Normal"/>
        <w:bidi w:val="0"/>
        <w:jc w:val="left"/>
        <w:rPr>
          <w:rFonts w:ascii="Times New Roman" w:hAnsi="Times New Roman"/>
          <w:lang w:val="hr-HR"/>
        </w:rPr>
      </w:pPr>
      <w:r>
        <w:rPr>
          <w:rFonts w:ascii="Times New Roman" w:hAnsi="Times New Roman"/>
          <w:lang w:val="hr-HR"/>
        </w:rPr>
      </w:r>
    </w:p>
    <w:p>
      <w:pPr>
        <w:pStyle w:val="Normal"/>
        <w:bidi w:val="0"/>
        <w:jc w:val="center"/>
        <w:rPr>
          <w:rFonts w:ascii="Times New Roman" w:hAnsi="Times New Roman"/>
        </w:rPr>
      </w:pPr>
      <w:r>
        <w:rPr>
          <w:rFonts w:ascii="Times New Roman" w:hAnsi="Times New Roman"/>
          <w:b/>
          <w:lang w:val="hr-HR"/>
        </w:rPr>
        <w:t>Članak 4.</w:t>
      </w:r>
    </w:p>
    <w:p>
      <w:pPr>
        <w:pStyle w:val="Normal"/>
        <w:bidi w:val="0"/>
        <w:jc w:val="both"/>
        <w:rPr>
          <w:rFonts w:ascii="Times New Roman" w:hAnsi="Times New Roman"/>
        </w:rPr>
      </w:pPr>
      <w:r>
        <w:rPr>
          <w:rFonts w:ascii="Times New Roman" w:hAnsi="Times New Roman"/>
          <w:lang w:val="hr-HR"/>
        </w:rPr>
        <w:tab/>
        <w:t>Odluka stupa na snagu osmog dana od dana objave u Službenom glasniku Općine Negoslavci.</w:t>
      </w:r>
    </w:p>
    <w:p>
      <w:pPr>
        <w:pStyle w:val="Normal"/>
        <w:bidi w:val="0"/>
        <w:jc w:val="left"/>
        <w:rPr>
          <w:rFonts w:ascii="Times New Roman" w:hAnsi="Times New Roman"/>
          <w:lang w:val="hr-HR"/>
        </w:rPr>
      </w:pPr>
      <w:r>
        <w:rPr>
          <w:rFonts w:ascii="Times New Roman" w:hAnsi="Times New Roman"/>
          <w:lang w:val="hr-HR"/>
        </w:rPr>
      </w:r>
    </w:p>
    <w:p>
      <w:pPr>
        <w:pStyle w:val="Normal"/>
        <w:bidi w:val="0"/>
        <w:jc w:val="left"/>
        <w:rPr>
          <w:rFonts w:ascii="Times New Roman" w:hAnsi="Times New Roman"/>
        </w:rPr>
      </w:pPr>
      <w:r>
        <w:rPr>
          <w:rFonts w:ascii="Times New Roman" w:hAnsi="Times New Roman"/>
          <w:lang w:val="hr-HR"/>
        </w:rPr>
        <w:t>KLA</w:t>
      </w:r>
      <w:r>
        <w:rPr>
          <w:rFonts w:ascii="Times New Roman" w:hAnsi="Times New Roman"/>
          <w:color w:val="000000"/>
          <w:lang w:val="hr-HR"/>
        </w:rPr>
        <w:t>SA: 400-04/26-01/01</w:t>
      </w:r>
    </w:p>
    <w:p>
      <w:pPr>
        <w:pStyle w:val="Normal"/>
        <w:bidi w:val="0"/>
        <w:jc w:val="left"/>
        <w:rPr>
          <w:rFonts w:ascii="Times New Roman" w:hAnsi="Times New Roman"/>
        </w:rPr>
      </w:pPr>
      <w:r>
        <w:rPr>
          <w:rFonts w:ascii="Times New Roman" w:hAnsi="Times New Roman"/>
          <w:color w:val="000000"/>
          <w:lang w:val="hr-HR"/>
        </w:rPr>
        <w:t>URBROJ: 2196-19-02-26-01</w:t>
      </w:r>
    </w:p>
    <w:p>
      <w:pPr>
        <w:pStyle w:val="Normal"/>
        <w:bidi w:val="0"/>
        <w:jc w:val="left"/>
        <w:rPr>
          <w:rFonts w:ascii="Times New Roman" w:hAnsi="Times New Roman"/>
        </w:rPr>
      </w:pPr>
      <w:r>
        <w:rPr>
          <w:rFonts w:ascii="Times New Roman" w:hAnsi="Times New Roman"/>
          <w:lang w:val="hr-HR"/>
        </w:rPr>
        <w:t xml:space="preserve">Negoslavci, 24. rujna 2026. </w:t>
      </w:r>
    </w:p>
    <w:p>
      <w:pPr>
        <w:pStyle w:val="Normal"/>
        <w:bidi w:val="0"/>
        <w:jc w:val="left"/>
        <w:rPr>
          <w:rFonts w:ascii="Times New Roman" w:hAnsi="Times New Roman"/>
          <w:lang w:val="hr-HR"/>
        </w:rPr>
      </w:pPr>
      <w:r>
        <w:rPr>
          <w:rFonts w:ascii="Times New Roman" w:hAnsi="Times New Roman"/>
          <w:lang w:val="hr-HR"/>
        </w:rPr>
      </w:r>
    </w:p>
    <w:p>
      <w:pPr>
        <w:pStyle w:val="Normal"/>
        <w:bidi w:val="0"/>
        <w:jc w:val="center"/>
        <w:rPr>
          <w:rFonts w:ascii="Times New Roman" w:hAnsi="Times New Roman"/>
        </w:rPr>
      </w:pPr>
      <w:r>
        <w:rPr>
          <w:rFonts w:ascii="Times New Roman" w:hAnsi="Times New Roman"/>
          <w:b/>
          <w:lang w:val="hr-HR"/>
        </w:rPr>
        <w:t>PREDSJEDNIK OPĆINSKOG VIJEĆA:</w:t>
      </w:r>
    </w:p>
    <w:p>
      <w:pPr>
        <w:pStyle w:val="Normal"/>
        <w:bidi w:val="0"/>
        <w:jc w:val="center"/>
        <w:rPr>
          <w:rFonts w:ascii="Times New Roman" w:hAnsi="Times New Roman"/>
        </w:rPr>
      </w:pPr>
      <w:r>
        <w:rPr>
          <w:rFonts w:ascii="Times New Roman" w:hAnsi="Times New Roman"/>
          <w:b w:val="false"/>
          <w:bCs w:val="false"/>
        </w:rPr>
        <w:t>Miodrag Mišanović</w:t>
      </w:r>
    </w:p>
    <w:p>
      <w:pPr>
        <w:pStyle w:val="Normal"/>
        <w:bidi w:val="0"/>
        <w:jc w:val="center"/>
        <w:rPr>
          <w:rFonts w:ascii="Times New Roman" w:hAnsi="Times New Roman"/>
        </w:rPr>
      </w:pPr>
      <w:r>
        <w:rPr>
          <w:rFonts w:ascii="Times New Roman" w:hAnsi="Times New Roman"/>
        </w:rPr>
        <w:drawing>
          <wp:inline distT="0" distB="0" distL="0" distR="0">
            <wp:extent cx="5761355" cy="36830"/>
            <wp:effectExtent l="0" t="0" r="0" b="0"/>
            <wp:docPr id="2" name="Slika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3" descr=""/>
                    <pic:cNvPicPr>
                      <a:picLocks noChangeAspect="1" noChangeArrowheads="1"/>
                    </pic:cNvPicPr>
                  </pic:nvPicPr>
                  <pic:blipFill>
                    <a:blip r:embed="rId4"/>
                    <a:stretch>
                      <a:fillRect/>
                    </a:stretch>
                  </pic:blipFill>
                  <pic:spPr bwMode="auto">
                    <a:xfrm>
                      <a:off x="0" y="0"/>
                      <a:ext cx="5761355" cy="36830"/>
                    </a:xfrm>
                    <a:prstGeom prst="rect">
                      <a:avLst/>
                    </a:prstGeom>
                  </pic:spPr>
                </pic:pic>
              </a:graphicData>
            </a:graphic>
          </wp:inline>
        </w:drawing>
      </w:r>
    </w:p>
    <w:p>
      <w:pPr>
        <w:pStyle w:val="Normal"/>
        <w:bidi w:val="0"/>
        <w:jc w:val="center"/>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rPr>
      </w:r>
    </w:p>
    <w:p>
      <w:pPr>
        <w:pStyle w:val="Normal"/>
        <w:bidi w:val="0"/>
        <w:jc w:val="center"/>
        <w:rPr>
          <w:rFonts w:ascii="Times New Roman" w:hAnsi="Times New Roman"/>
        </w:rPr>
      </w:pPr>
      <w:r>
        <w:rPr>
          <w:rFonts w:ascii="Times New Roman" w:hAnsi="Times New Roman"/>
          <w:b/>
          <w:bCs/>
        </w:rPr>
        <w:t>Polugodišnji izvještaj o izvršenju proračuna Općine Negoslavci za 2026. godinu</w:t>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rPr>
      </w:pPr>
      <w:r>
        <w:rPr>
          <w:rFonts w:ascii="Times New Roman" w:hAnsi="Times New Roman"/>
          <w:b/>
          <w:bCs/>
        </w:rPr>
        <w:t>1. Opći dio</w:t>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rPr>
      </w:pPr>
      <w:r>
        <w:rPr>
          <w:rFonts w:ascii="Times New Roman" w:hAnsi="Times New Roman"/>
          <w:b/>
          <w:bCs/>
        </w:rPr>
        <w:t>1.1. SAŽETAK RAČUNA PRIHODA I RASHODA I RAČUNA FINANCIRANJA</w:t>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rPr>
      </w:pPr>
      <w:r>
        <w:rPr>
          <w:rFonts w:ascii="Times New Roman" w:hAnsi="Times New Roman"/>
          <w:b/>
          <w:bCs/>
        </w:rPr>
        <w:t>A) SAŽETAK RAČUNA PRIHODA I RASHODA</w:t>
      </w:r>
    </w:p>
    <w:tbl>
      <w:tblPr>
        <w:tblW w:w="10020" w:type="dxa"/>
        <w:jc w:val="left"/>
        <w:tblInd w:w="0" w:type="dxa"/>
        <w:tblLayout w:type="fixed"/>
        <w:tblCellMar>
          <w:top w:w="0" w:type="dxa"/>
          <w:left w:w="7" w:type="dxa"/>
          <w:bottom w:w="0" w:type="dxa"/>
          <w:right w:w="7" w:type="dxa"/>
        </w:tblCellMar>
      </w:tblPr>
      <w:tblGrid>
        <w:gridCol w:w="3954"/>
        <w:gridCol w:w="1514"/>
        <w:gridCol w:w="1512"/>
        <w:gridCol w:w="1496"/>
        <w:gridCol w:w="871"/>
        <w:gridCol w:w="672"/>
      </w:tblGrid>
      <w:tr>
        <w:trPr>
          <w:trHeight w:val="720" w:hRule="atLeast"/>
        </w:trPr>
        <w:tc>
          <w:tcPr>
            <w:tcW w:w="395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Brojčana oznaka i naziv</w:t>
            </w:r>
          </w:p>
        </w:tc>
        <w:tc>
          <w:tcPr>
            <w:tcW w:w="15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Ostvarenje / izvršenje</w:t>
              <w:br/>
              <w:t>30.6.2025.</w:t>
            </w:r>
          </w:p>
        </w:tc>
        <w:tc>
          <w:tcPr>
            <w:tcW w:w="151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Rebalans za 2026. godinu</w:t>
            </w:r>
          </w:p>
        </w:tc>
        <w:tc>
          <w:tcPr>
            <w:tcW w:w="14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Ostvarenje / izvršenje</w:t>
              <w:br/>
              <w:t>30.6.2026.</w:t>
            </w:r>
          </w:p>
        </w:tc>
        <w:tc>
          <w:tcPr>
            <w:tcW w:w="8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Indeks</w:t>
              <w:br/>
              <w:t> 4 / 2</w:t>
            </w:r>
          </w:p>
        </w:tc>
        <w:tc>
          <w:tcPr>
            <w:tcW w:w="67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Indeks</w:t>
              <w:br/>
              <w:t> 4 / 3</w:t>
            </w:r>
          </w:p>
        </w:tc>
      </w:tr>
      <w:tr>
        <w:trPr>
          <w:trHeight w:val="285" w:hRule="atLeast"/>
        </w:trPr>
        <w:tc>
          <w:tcPr>
            <w:tcW w:w="395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w:t>
            </w:r>
          </w:p>
        </w:tc>
        <w:tc>
          <w:tcPr>
            <w:tcW w:w="15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w:t>
            </w:r>
          </w:p>
        </w:tc>
        <w:tc>
          <w:tcPr>
            <w:tcW w:w="151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w:t>
            </w:r>
          </w:p>
        </w:tc>
        <w:tc>
          <w:tcPr>
            <w:tcW w:w="14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w:t>
            </w:r>
          </w:p>
        </w:tc>
        <w:tc>
          <w:tcPr>
            <w:tcW w:w="8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w:t>
            </w:r>
          </w:p>
        </w:tc>
        <w:tc>
          <w:tcPr>
            <w:tcW w:w="67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w:t>
            </w:r>
          </w:p>
        </w:tc>
      </w:tr>
      <w:tr>
        <w:trPr>
          <w:trHeight w:val="495" w:hRule="atLeast"/>
        </w:trPr>
        <w:tc>
          <w:tcPr>
            <w:tcW w:w="395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PRIHODI UKUPNO</w:t>
            </w:r>
          </w:p>
        </w:tc>
        <w:tc>
          <w:tcPr>
            <w:tcW w:w="15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630.052,83</w:t>
            </w:r>
          </w:p>
        </w:tc>
        <w:tc>
          <w:tcPr>
            <w:tcW w:w="151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1.310.458,00</w:t>
            </w:r>
          </w:p>
        </w:tc>
        <w:tc>
          <w:tcPr>
            <w:tcW w:w="14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603.555,56</w:t>
            </w:r>
          </w:p>
        </w:tc>
        <w:tc>
          <w:tcPr>
            <w:tcW w:w="8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95,79</w:t>
            </w:r>
          </w:p>
        </w:tc>
        <w:tc>
          <w:tcPr>
            <w:tcW w:w="67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46,06</w:t>
            </w:r>
          </w:p>
        </w:tc>
      </w:tr>
      <w:tr>
        <w:trPr>
          <w:trHeight w:val="480" w:hRule="atLeast"/>
        </w:trPr>
        <w:tc>
          <w:tcPr>
            <w:tcW w:w="395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 PRIHODI POSLOVANJA</w:t>
            </w:r>
          </w:p>
        </w:tc>
        <w:tc>
          <w:tcPr>
            <w:tcW w:w="15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630.052,83</w:t>
            </w:r>
          </w:p>
        </w:tc>
        <w:tc>
          <w:tcPr>
            <w:tcW w:w="151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1.310.458,00</w:t>
            </w:r>
          </w:p>
        </w:tc>
        <w:tc>
          <w:tcPr>
            <w:tcW w:w="14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603.555,56</w:t>
            </w:r>
          </w:p>
        </w:tc>
        <w:tc>
          <w:tcPr>
            <w:tcW w:w="8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95,79</w:t>
            </w:r>
          </w:p>
        </w:tc>
        <w:tc>
          <w:tcPr>
            <w:tcW w:w="67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46,06</w:t>
            </w:r>
          </w:p>
        </w:tc>
      </w:tr>
      <w:tr>
        <w:trPr>
          <w:trHeight w:val="480" w:hRule="atLeast"/>
        </w:trPr>
        <w:tc>
          <w:tcPr>
            <w:tcW w:w="395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7 PRIHODI OD PRODAJE NEFINANCIJSKE IMOVINE</w:t>
            </w:r>
          </w:p>
        </w:tc>
        <w:tc>
          <w:tcPr>
            <w:tcW w:w="15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51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4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8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67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495" w:hRule="atLeast"/>
        </w:trPr>
        <w:tc>
          <w:tcPr>
            <w:tcW w:w="395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RASHODI UKUPNO</w:t>
            </w:r>
          </w:p>
        </w:tc>
        <w:tc>
          <w:tcPr>
            <w:tcW w:w="15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610.497,34</w:t>
            </w:r>
          </w:p>
        </w:tc>
        <w:tc>
          <w:tcPr>
            <w:tcW w:w="151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1.534.313,09</w:t>
            </w:r>
          </w:p>
        </w:tc>
        <w:tc>
          <w:tcPr>
            <w:tcW w:w="14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594.427,06</w:t>
            </w:r>
          </w:p>
        </w:tc>
        <w:tc>
          <w:tcPr>
            <w:tcW w:w="8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97,37</w:t>
            </w:r>
          </w:p>
        </w:tc>
        <w:tc>
          <w:tcPr>
            <w:tcW w:w="67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38,74</w:t>
            </w:r>
          </w:p>
        </w:tc>
      </w:tr>
      <w:tr>
        <w:trPr>
          <w:trHeight w:val="480" w:hRule="atLeast"/>
        </w:trPr>
        <w:tc>
          <w:tcPr>
            <w:tcW w:w="395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 RASHODI POSLOVANJA</w:t>
            </w:r>
          </w:p>
        </w:tc>
        <w:tc>
          <w:tcPr>
            <w:tcW w:w="15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456.297,99</w:t>
            </w:r>
          </w:p>
        </w:tc>
        <w:tc>
          <w:tcPr>
            <w:tcW w:w="151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952.645,09</w:t>
            </w:r>
          </w:p>
        </w:tc>
        <w:tc>
          <w:tcPr>
            <w:tcW w:w="14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443.768,57</w:t>
            </w:r>
          </w:p>
        </w:tc>
        <w:tc>
          <w:tcPr>
            <w:tcW w:w="8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97,25</w:t>
            </w:r>
          </w:p>
        </w:tc>
        <w:tc>
          <w:tcPr>
            <w:tcW w:w="67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46,58</w:t>
            </w:r>
          </w:p>
        </w:tc>
      </w:tr>
      <w:tr>
        <w:trPr>
          <w:trHeight w:val="495" w:hRule="atLeast"/>
        </w:trPr>
        <w:tc>
          <w:tcPr>
            <w:tcW w:w="395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 RASHODI ZA NABAVU NEFINANCIJSKE IMOVINE</w:t>
            </w:r>
          </w:p>
        </w:tc>
        <w:tc>
          <w:tcPr>
            <w:tcW w:w="15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154.199,35</w:t>
            </w:r>
          </w:p>
        </w:tc>
        <w:tc>
          <w:tcPr>
            <w:tcW w:w="151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581.668,00</w:t>
            </w:r>
          </w:p>
        </w:tc>
        <w:tc>
          <w:tcPr>
            <w:tcW w:w="14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150.658,49</w:t>
            </w:r>
          </w:p>
        </w:tc>
        <w:tc>
          <w:tcPr>
            <w:tcW w:w="8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97,70</w:t>
            </w:r>
          </w:p>
        </w:tc>
        <w:tc>
          <w:tcPr>
            <w:tcW w:w="67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25,90</w:t>
            </w:r>
          </w:p>
        </w:tc>
      </w:tr>
      <w:tr>
        <w:trPr>
          <w:trHeight w:val="480" w:hRule="atLeast"/>
        </w:trPr>
        <w:tc>
          <w:tcPr>
            <w:tcW w:w="395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RAZLIKA - VIŠAK / MANJAK</w:t>
            </w:r>
          </w:p>
        </w:tc>
        <w:tc>
          <w:tcPr>
            <w:tcW w:w="15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19.555,49</w:t>
            </w:r>
          </w:p>
        </w:tc>
        <w:tc>
          <w:tcPr>
            <w:tcW w:w="151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-223.855,09</w:t>
            </w:r>
          </w:p>
        </w:tc>
        <w:tc>
          <w:tcPr>
            <w:tcW w:w="14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9.128,50</w:t>
            </w:r>
          </w:p>
        </w:tc>
        <w:tc>
          <w:tcPr>
            <w:tcW w:w="8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46,68</w:t>
            </w:r>
          </w:p>
        </w:tc>
        <w:tc>
          <w:tcPr>
            <w:tcW w:w="67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w:t>
            </w:r>
          </w:p>
        </w:tc>
      </w:tr>
    </w:tbl>
    <w:p>
      <w:pPr>
        <w:pStyle w:val="Normal"/>
        <w:bidi w:val="0"/>
        <w:jc w:val="center"/>
        <w:rPr>
          <w:rFonts w:ascii="Times New Roman" w:hAnsi="Times New Roman"/>
          <w:b w:val="false"/>
          <w:b w:val="false"/>
          <w:bCs w:val="false"/>
        </w:rPr>
      </w:pPr>
      <w:r>
        <w:rPr>
          <w:rFonts w:ascii="Times New Roman" w:hAnsi="Times New Roman"/>
          <w:b w:val="false"/>
          <w:bCs w:val="false"/>
        </w:rPr>
      </w:r>
    </w:p>
    <w:p>
      <w:pPr>
        <w:pStyle w:val="Normal"/>
        <w:bidi w:val="0"/>
        <w:jc w:val="center"/>
        <w:rPr>
          <w:rFonts w:ascii="Times New Roman" w:hAnsi="Times New Roman"/>
        </w:rPr>
      </w:pPr>
      <w:r>
        <w:rPr>
          <w:rFonts w:ascii="Times New Roman" w:hAnsi="Times New Roman"/>
          <w:b/>
          <w:bCs/>
        </w:rPr>
        <w:t>B) SAŽETAK RAČUNA FINANCIRANJA</w:t>
      </w:r>
    </w:p>
    <w:tbl>
      <w:tblPr>
        <w:tblW w:w="10020" w:type="dxa"/>
        <w:jc w:val="left"/>
        <w:tblInd w:w="0" w:type="dxa"/>
        <w:tblLayout w:type="fixed"/>
        <w:tblCellMar>
          <w:top w:w="0" w:type="dxa"/>
          <w:left w:w="7" w:type="dxa"/>
          <w:bottom w:w="0" w:type="dxa"/>
          <w:right w:w="7" w:type="dxa"/>
        </w:tblCellMar>
      </w:tblPr>
      <w:tblGrid>
        <w:gridCol w:w="3954"/>
        <w:gridCol w:w="1514"/>
        <w:gridCol w:w="1512"/>
        <w:gridCol w:w="1496"/>
        <w:gridCol w:w="871"/>
        <w:gridCol w:w="672"/>
      </w:tblGrid>
      <w:tr>
        <w:trPr>
          <w:trHeight w:val="720" w:hRule="atLeast"/>
        </w:trPr>
        <w:tc>
          <w:tcPr>
            <w:tcW w:w="395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Brojčana oznaka i naziv</w:t>
            </w:r>
          </w:p>
        </w:tc>
        <w:tc>
          <w:tcPr>
            <w:tcW w:w="15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Ostvarenje / izvršenje</w:t>
              <w:br/>
              <w:t>30.6.2025.</w:t>
            </w:r>
          </w:p>
        </w:tc>
        <w:tc>
          <w:tcPr>
            <w:tcW w:w="151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Rebalans za 2026. godinu</w:t>
            </w:r>
          </w:p>
        </w:tc>
        <w:tc>
          <w:tcPr>
            <w:tcW w:w="14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Ostvarenje / izvršenje</w:t>
              <w:br/>
              <w:t>30.6.2026.</w:t>
            </w:r>
          </w:p>
        </w:tc>
        <w:tc>
          <w:tcPr>
            <w:tcW w:w="8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Indeks</w:t>
              <w:br/>
              <w:t>4 / 2</w:t>
            </w:r>
          </w:p>
        </w:tc>
        <w:tc>
          <w:tcPr>
            <w:tcW w:w="67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Indeks</w:t>
              <w:br/>
              <w:t> 4 / 3</w:t>
            </w:r>
          </w:p>
        </w:tc>
      </w:tr>
      <w:tr>
        <w:trPr>
          <w:trHeight w:val="285" w:hRule="atLeast"/>
        </w:trPr>
        <w:tc>
          <w:tcPr>
            <w:tcW w:w="395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w:t>
            </w:r>
          </w:p>
        </w:tc>
        <w:tc>
          <w:tcPr>
            <w:tcW w:w="15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w:t>
            </w:r>
          </w:p>
        </w:tc>
        <w:tc>
          <w:tcPr>
            <w:tcW w:w="151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w:t>
            </w:r>
          </w:p>
        </w:tc>
        <w:tc>
          <w:tcPr>
            <w:tcW w:w="14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w:t>
            </w:r>
          </w:p>
        </w:tc>
        <w:tc>
          <w:tcPr>
            <w:tcW w:w="8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w:t>
            </w:r>
          </w:p>
        </w:tc>
        <w:tc>
          <w:tcPr>
            <w:tcW w:w="67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w:t>
            </w:r>
          </w:p>
        </w:tc>
      </w:tr>
      <w:tr>
        <w:trPr>
          <w:trHeight w:val="480" w:hRule="atLeast"/>
        </w:trPr>
        <w:tc>
          <w:tcPr>
            <w:tcW w:w="395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8 PRIMICI OD FINANCIJSKE IMOVINE I ZADUŽIVANJA</w:t>
            </w:r>
          </w:p>
        </w:tc>
        <w:tc>
          <w:tcPr>
            <w:tcW w:w="15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51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4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8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67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480" w:hRule="atLeast"/>
        </w:trPr>
        <w:tc>
          <w:tcPr>
            <w:tcW w:w="395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 IZDACI ZA FINANCIJSKU IMOVINU I OTPLATE ZAJMOVA</w:t>
            </w:r>
          </w:p>
        </w:tc>
        <w:tc>
          <w:tcPr>
            <w:tcW w:w="15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51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4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8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67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495" w:hRule="atLeast"/>
        </w:trPr>
        <w:tc>
          <w:tcPr>
            <w:tcW w:w="395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NETO FINANCIRANJE</w:t>
            </w:r>
          </w:p>
        </w:tc>
        <w:tc>
          <w:tcPr>
            <w:tcW w:w="15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51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4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8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67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bl>
    <w:p>
      <w:pPr>
        <w:pStyle w:val="Normal"/>
        <w:bidi w:val="0"/>
        <w:jc w:val="center"/>
        <w:rPr>
          <w:rFonts w:ascii="Times New Roman" w:hAnsi="Times New Roman"/>
        </w:rPr>
      </w:pPr>
      <w:r>
        <w:rPr>
          <w:rFonts w:ascii="Times New Roman" w:hAnsi="Times New Roman"/>
        </w:rPr>
      </w:r>
    </w:p>
    <w:p>
      <w:pPr>
        <w:pStyle w:val="Normal"/>
        <w:bidi w:val="0"/>
        <w:jc w:val="center"/>
        <w:rPr>
          <w:rFonts w:ascii="Times New Roman" w:hAnsi="Times New Roman"/>
        </w:rPr>
      </w:pPr>
      <w:r>
        <w:rPr>
          <w:rFonts w:ascii="Times New Roman" w:hAnsi="Times New Roman"/>
          <w:b/>
          <w:bCs/>
        </w:rPr>
        <w:t>C) PRENESENI VIŠAK ILI PRENESENI MANJAK</w:t>
      </w:r>
    </w:p>
    <w:tbl>
      <w:tblPr>
        <w:tblW w:w="10020" w:type="dxa"/>
        <w:jc w:val="left"/>
        <w:tblInd w:w="0" w:type="dxa"/>
        <w:tblLayout w:type="fixed"/>
        <w:tblCellMar>
          <w:top w:w="0" w:type="dxa"/>
          <w:left w:w="7" w:type="dxa"/>
          <w:bottom w:w="0" w:type="dxa"/>
          <w:right w:w="7" w:type="dxa"/>
        </w:tblCellMar>
      </w:tblPr>
      <w:tblGrid>
        <w:gridCol w:w="3934"/>
        <w:gridCol w:w="1504"/>
        <w:gridCol w:w="1503"/>
        <w:gridCol w:w="1489"/>
        <w:gridCol w:w="866"/>
        <w:gridCol w:w="723"/>
      </w:tblGrid>
      <w:tr>
        <w:trPr>
          <w:trHeight w:val="735" w:hRule="atLeast"/>
        </w:trPr>
        <w:tc>
          <w:tcPr>
            <w:tcW w:w="393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Brojčana oznaka i naziv</w:t>
            </w:r>
          </w:p>
        </w:tc>
        <w:tc>
          <w:tcPr>
            <w:tcW w:w="150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Ostvarenje / izvršenje</w:t>
              <w:br/>
              <w:t>30.6.2025.</w:t>
            </w:r>
          </w:p>
        </w:tc>
        <w:tc>
          <w:tcPr>
            <w:tcW w:w="150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Rebalans za 2026. godinu</w:t>
            </w:r>
          </w:p>
        </w:tc>
        <w:tc>
          <w:tcPr>
            <w:tcW w:w="148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Ostvarenje / izvršenje</w:t>
              <w:br/>
              <w:t>30.6.2026.</w:t>
            </w:r>
          </w:p>
        </w:tc>
        <w:tc>
          <w:tcPr>
            <w:tcW w:w="8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Indeks</w:t>
              <w:br/>
              <w:t> 4 / 2</w:t>
            </w:r>
          </w:p>
        </w:tc>
        <w:tc>
          <w:tcPr>
            <w:tcW w:w="72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Indeks</w:t>
              <w:br/>
              <w:t> 4 / 3</w:t>
            </w:r>
          </w:p>
        </w:tc>
      </w:tr>
      <w:tr>
        <w:trPr>
          <w:trHeight w:val="285" w:hRule="atLeast"/>
        </w:trPr>
        <w:tc>
          <w:tcPr>
            <w:tcW w:w="393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w:t>
            </w:r>
          </w:p>
        </w:tc>
        <w:tc>
          <w:tcPr>
            <w:tcW w:w="150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w:t>
            </w:r>
          </w:p>
        </w:tc>
        <w:tc>
          <w:tcPr>
            <w:tcW w:w="150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w:t>
            </w:r>
          </w:p>
        </w:tc>
        <w:tc>
          <w:tcPr>
            <w:tcW w:w="148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w:t>
            </w:r>
          </w:p>
        </w:tc>
        <w:tc>
          <w:tcPr>
            <w:tcW w:w="8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w:t>
            </w:r>
          </w:p>
        </w:tc>
        <w:tc>
          <w:tcPr>
            <w:tcW w:w="72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w:t>
            </w:r>
          </w:p>
        </w:tc>
      </w:tr>
      <w:tr>
        <w:trPr>
          <w:trHeight w:val="480" w:hRule="atLeast"/>
        </w:trPr>
        <w:tc>
          <w:tcPr>
            <w:tcW w:w="393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92 UKUPAN DONOS VIŠKA / MANJKA IZ PRETHODNIH GODINA*</w:t>
            </w:r>
          </w:p>
        </w:tc>
        <w:tc>
          <w:tcPr>
            <w:tcW w:w="150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371.828,81</w:t>
            </w:r>
          </w:p>
        </w:tc>
        <w:tc>
          <w:tcPr>
            <w:tcW w:w="150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223.855,09</w:t>
            </w:r>
          </w:p>
        </w:tc>
        <w:tc>
          <w:tcPr>
            <w:tcW w:w="148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223.855,09</w:t>
            </w:r>
          </w:p>
        </w:tc>
        <w:tc>
          <w:tcPr>
            <w:tcW w:w="8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60,20</w:t>
            </w:r>
          </w:p>
        </w:tc>
        <w:tc>
          <w:tcPr>
            <w:tcW w:w="72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100,00</w:t>
            </w:r>
          </w:p>
        </w:tc>
      </w:tr>
      <w:tr>
        <w:trPr>
          <w:trHeight w:val="480" w:hRule="atLeast"/>
        </w:trPr>
        <w:tc>
          <w:tcPr>
            <w:tcW w:w="393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92 VIŠAK / MANJAK IZ PRETHODNIH GODINA KOJI ĆE SE RASPOREDITI / POKRITI</w:t>
            </w:r>
          </w:p>
        </w:tc>
        <w:tc>
          <w:tcPr>
            <w:tcW w:w="150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371.828,81</w:t>
            </w:r>
          </w:p>
        </w:tc>
        <w:tc>
          <w:tcPr>
            <w:tcW w:w="150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223.855,09</w:t>
            </w:r>
          </w:p>
        </w:tc>
        <w:tc>
          <w:tcPr>
            <w:tcW w:w="148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223.855,09</w:t>
            </w:r>
          </w:p>
        </w:tc>
        <w:tc>
          <w:tcPr>
            <w:tcW w:w="8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60,20</w:t>
            </w:r>
          </w:p>
        </w:tc>
        <w:tc>
          <w:tcPr>
            <w:tcW w:w="72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100,00</w:t>
            </w:r>
          </w:p>
        </w:tc>
      </w:tr>
    </w:tbl>
    <w:p>
      <w:pPr>
        <w:pStyle w:val="Normal"/>
        <w:bidi w:val="0"/>
        <w:jc w:val="center"/>
        <w:rPr>
          <w:rFonts w:ascii="Times New Roman" w:hAnsi="Times New Roman"/>
          <w:b/>
          <w:b/>
          <w:bCs/>
        </w:rPr>
      </w:pPr>
      <w:r>
        <w:rPr>
          <w:rFonts w:ascii="Times New Roman" w:hAnsi="Times New Roman"/>
          <w:b/>
          <w:bCs/>
        </w:rPr>
      </w:r>
    </w:p>
    <w:p>
      <w:pPr>
        <w:pStyle w:val="Normal"/>
        <w:bidi w:val="0"/>
        <w:jc w:val="both"/>
        <w:rPr>
          <w:rFonts w:ascii="Times New Roman" w:hAnsi="Times New Roman"/>
        </w:rPr>
      </w:pPr>
      <w:r>
        <w:rPr>
          <w:rFonts w:ascii="Times New Roman" w:hAnsi="Times New Roman"/>
        </w:rPr>
      </w:r>
    </w:p>
    <w:tbl>
      <w:tblPr>
        <w:tblW w:w="10020" w:type="dxa"/>
        <w:jc w:val="left"/>
        <w:tblInd w:w="0" w:type="dxa"/>
        <w:tblLayout w:type="fixed"/>
        <w:tblCellMar>
          <w:top w:w="0" w:type="dxa"/>
          <w:left w:w="7" w:type="dxa"/>
          <w:bottom w:w="0" w:type="dxa"/>
          <w:right w:w="7" w:type="dxa"/>
        </w:tblCellMar>
      </w:tblPr>
      <w:tblGrid>
        <w:gridCol w:w="4212"/>
        <w:gridCol w:w="1610"/>
        <w:gridCol w:w="1610"/>
        <w:gridCol w:w="1596"/>
        <w:gridCol w:w="926"/>
        <w:gridCol w:w="65"/>
      </w:tblGrid>
      <w:tr>
        <w:trPr>
          <w:trHeight w:val="510" w:hRule="atLeast"/>
        </w:trPr>
        <w:tc>
          <w:tcPr>
            <w:tcW w:w="421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VIŠAK / MANJAK + NETO FINANCIRANJE + PRENESENI REZULTAT</w:t>
            </w:r>
          </w:p>
        </w:tc>
        <w:tc>
          <w:tcPr>
            <w:tcW w:w="161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1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5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92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6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bl>
    <w:p>
      <w:pPr>
        <w:pStyle w:val="Normal"/>
        <w:bidi w:val="0"/>
        <w:jc w:val="both"/>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b/>
          <w:bCs/>
        </w:rPr>
        <w:t>Napomena:</w:t>
      </w:r>
    </w:p>
    <w:p>
      <w:pPr>
        <w:pStyle w:val="Normal"/>
        <w:bidi w:val="0"/>
        <w:jc w:val="both"/>
        <w:rPr>
          <w:rFonts w:ascii="Times New Roman" w:hAnsi="Times New Roman"/>
          <w:b/>
          <w:b/>
          <w:bCs/>
        </w:rPr>
      </w:pPr>
      <w:r>
        <w:rPr>
          <w:rFonts w:ascii="Times New Roman" w:hAnsi="Times New Roman"/>
          <w:b/>
          <w:bCs/>
        </w:rPr>
      </w:r>
    </w:p>
    <w:p>
      <w:pPr>
        <w:pStyle w:val="Normal"/>
        <w:bidi w:val="0"/>
        <w:jc w:val="both"/>
        <w:rPr>
          <w:rFonts w:ascii="Times New Roman" w:hAnsi="Times New Roman"/>
        </w:rPr>
      </w:pPr>
      <w:r>
        <w:rPr>
          <w:rFonts w:ascii="Times New Roman" w:hAnsi="Times New Roman"/>
          <w:b/>
          <w:bCs/>
        </w:rPr>
        <w:t>* Redak UKUPAN DONOS VIŠKA / MANJKA IZ PRETHODNIH GODINA služi kao informacija i ne uzima se u obzir kod uravnoteženja proračuna, već se proračun uravnotežuje retkom VIŠAK / MANJAK IZ PRETHODNIH GODINA KOJI ĆE SE POKRITI / RASPOREDITI.</w:t>
      </w:r>
    </w:p>
    <w:p>
      <w:pPr>
        <w:pStyle w:val="Normal"/>
        <w:bidi w:val="0"/>
        <w:jc w:val="both"/>
        <w:rPr>
          <w:rFonts w:ascii="Times New Roman" w:hAnsi="Times New Roman"/>
          <w:b/>
          <w:b/>
          <w:bCs/>
        </w:rPr>
      </w:pPr>
      <w:r>
        <w:rPr>
          <w:rFonts w:ascii="Times New Roman" w:hAnsi="Times New Roman"/>
          <w:b/>
          <w:bCs/>
        </w:rPr>
      </w:r>
    </w:p>
    <w:p>
      <w:pPr>
        <w:pStyle w:val="Normal"/>
        <w:bidi w:val="0"/>
        <w:jc w:val="center"/>
        <w:rPr>
          <w:rFonts w:ascii="Times New Roman" w:hAnsi="Times New Roman"/>
        </w:rPr>
      </w:pPr>
      <w:r>
        <w:rPr>
          <w:rFonts w:ascii="Times New Roman" w:hAnsi="Times New Roman"/>
          <w:b/>
          <w:bCs/>
        </w:rPr>
        <w:t>1.2. RAČUN PRIHODA I RASHODA</w:t>
      </w:r>
    </w:p>
    <w:p>
      <w:pPr>
        <w:pStyle w:val="Normal"/>
        <w:bidi w:val="0"/>
        <w:jc w:val="center"/>
        <w:rPr>
          <w:rFonts w:ascii="Times New Roman" w:hAnsi="Times New Roman"/>
        </w:rPr>
      </w:pPr>
      <w:r>
        <w:rPr>
          <w:rFonts w:ascii="Times New Roman" w:hAnsi="Times New Roman"/>
          <w:b/>
          <w:bCs/>
        </w:rPr>
        <w:t>1.2.1. IZVJEŠTAJ O PRIHODIMA I RASHODIMA PREMA EKONOMSKOJ KLASIFIKACIJI</w:t>
      </w:r>
    </w:p>
    <w:tbl>
      <w:tblPr>
        <w:tblW w:w="10575" w:type="dxa"/>
        <w:jc w:val="left"/>
        <w:tblInd w:w="0" w:type="dxa"/>
        <w:tblLayout w:type="fixed"/>
        <w:tblCellMar>
          <w:top w:w="0" w:type="dxa"/>
          <w:left w:w="7" w:type="dxa"/>
          <w:bottom w:w="0" w:type="dxa"/>
          <w:right w:w="7" w:type="dxa"/>
        </w:tblCellMar>
      </w:tblPr>
      <w:tblGrid>
        <w:gridCol w:w="567"/>
        <w:gridCol w:w="3314"/>
        <w:gridCol w:w="1718"/>
        <w:gridCol w:w="1733"/>
        <w:gridCol w:w="1732"/>
        <w:gridCol w:w="796"/>
        <w:gridCol w:w="714"/>
      </w:tblGrid>
      <w:tr>
        <w:trPr>
          <w:trHeight w:val="645" w:hRule="atLeast"/>
        </w:trPr>
        <w:tc>
          <w:tcPr>
            <w:tcW w:w="3881"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Brojčana oznaka i naziv</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 xml:space="preserve">Ostvarenje / izvršenje </w:t>
              <w:br/>
              <w:t>30.6.2025.</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Rebalans za 2026. godinu</w:t>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 xml:space="preserve">Ostvarenje / izvršenje </w:t>
              <w:br/>
              <w:t>30.6.2026.</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Indeks</w:t>
              <w:br/>
              <w:t> 4 / 2</w:t>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Indeks</w:t>
              <w:br/>
              <w:t> 4 / 3</w:t>
            </w:r>
          </w:p>
        </w:tc>
      </w:tr>
      <w:tr>
        <w:trPr>
          <w:trHeight w:val="195" w:hRule="atLeast"/>
        </w:trPr>
        <w:tc>
          <w:tcPr>
            <w:tcW w:w="3881"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w:t>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w:t>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w:t>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UKUPNO PRIHODI</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630.052,83</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1.310.458,00</w:t>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603.555,56</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95,79</w:t>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46,06</w:t>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Prihodi poslovanja</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630.052,83</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1.310.458,00</w:t>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603.555,56</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95,79</w:t>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46,06</w:t>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61</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Prihodi od poreza</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218.000,00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218.000,00</w:t>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97.355,79</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44,66</w:t>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44,66</w:t>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611</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Porez na dohodak</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90.213,11</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6111</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Porez na dohodak od nesamostalnog rada</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90.213,11</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613</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Porezi na imovinu</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7.108,38</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6134</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Povremeni porezi na imovinu</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7.108,38</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614</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Porezi na robu i usluge</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34,30</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6142</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Porez na promet</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34,30</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63</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Pomoći iz inozemstva i od subjekata unutar općeg proračuna</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354.495,39</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764.718,00</w:t>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300.710,92</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84,83</w:t>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39,32</w:t>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633</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Pomoći proračunu i izvanproračunskim korisnicima iz drugih proračuna</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22.555,39</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66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6331</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Tekuće pomoći proračunu i izvanproračunskim korisnicima iz drugih proračuna</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12.555,39</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66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6332</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Kapitalne pomoći proračunu i izvanproračunskim korisnicima iz drugih proračuna</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10.000,00</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635</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Pomoći izravnanja za decentralizirane funkcije i fiskalnog izravnanja</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139.743,08</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6353</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Pomoći fiskalnog izravnanja</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139.743,08</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638</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Pomoći temeljem prijenosa EU sredstava</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138.412,45</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6381</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Tekuće pomoći temeljem prijenosa EU sredstava</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138.412,45</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64</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Prihodi od imovine</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1.384,02</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3.490,00</w:t>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1.062,70</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76,78</w:t>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30,45</w:t>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641</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Prihodi od financijske imovine</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22,38</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6413</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Kamate na oročena sredstva i depozite po viđenju</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22,38</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642</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Prihodi od nefinancijske imovine</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1.040,32</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6421</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Naknade za koncesije</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932,42</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6422</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Prihodi od zakupa i iznajmljivanja imovine</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107,90</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645"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65</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Prihodi od upravnih i administrativnih pristojbi, pristojbi po posebnim propisima i naknada</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10.081,68</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24.250,00</w:t>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4.426,15</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43,9</w:t>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18,25</w:t>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651</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Upravne i administrativne pristojbe</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1.006,00</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6512</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Županijske, gradske i općinske pristojbe i naknade</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1.006,00</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653</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Komunalni doprinosi i naknade</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3.420,15</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6532</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Komunalne naknade</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3.420,15</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66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66</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Prihodi od prodaje proizvoda i robe te pruženih usluga, prihodi od donacija te povrati po protestiranim jamstvima</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200.000,00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300.000,00</w:t>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200.000,00</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100</w:t>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66,67</w:t>
            </w:r>
          </w:p>
        </w:tc>
      </w:tr>
      <w:tr>
        <w:trPr>
          <w:trHeight w:val="66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663</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Donacije od pravnih i fizičkih osoba izvan općeg proračuna te povrat donacija i kapitalnih pomoći po protestiranim jamstvima</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200.000,00</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6632</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Kapitalne donacije</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200.000,00</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645" w:hRule="atLeast"/>
        </w:trPr>
        <w:tc>
          <w:tcPr>
            <w:tcW w:w="3881"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Brojčana oznaka i naziv</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 xml:space="preserve">Ostvarenje / izvršenje </w:t>
              <w:br/>
              <w:t>30.6.2025.</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Rebalans za 2026. godinu</w:t>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 xml:space="preserve">Ostvarenje / izvršenje </w:t>
              <w:br/>
              <w:t>30.6.2026.</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Indeks</w:t>
              <w:br/>
              <w:t> 4 / 2</w:t>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Indeks</w:t>
              <w:br/>
              <w:t> 4 / 3</w:t>
            </w:r>
          </w:p>
        </w:tc>
      </w:tr>
      <w:tr>
        <w:trPr>
          <w:trHeight w:val="195" w:hRule="atLeast"/>
        </w:trPr>
        <w:tc>
          <w:tcPr>
            <w:tcW w:w="3881"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w:t>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w:t>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w:t>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UKUPNO RASHODI</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610.497,34</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1.534.313,09</w:t>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594.427,06</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97,37</w:t>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38,74</w:t>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Rashodi poslovanja</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456.297,99</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952.645,09</w:t>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443.768,57</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97,25</w:t>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46,58</w:t>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31</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Rashodi za zaposlene</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218.631,55</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373.000,00</w:t>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223.807,46</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102,37</w:t>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60</w:t>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311</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Plaće (Bruto)</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187.023,56</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3111</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Plaće za redovan rad</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187.023,56</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312</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Ostali rashodi za zaposlene</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5.925,00</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3121</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Ostali rashodi za zaposlene</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5.925,00</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313</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Doprinosi na plaće</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30.858,90</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3132</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Doprinosi za obvezno zdravstveno osiguranje</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30.858,90</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Materijalni rashodi</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125.120,96</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316.144,09</w:t>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92.191,16</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73,68</w:t>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29,16</w:t>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321</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Naknade troškova zaposlenima</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814,37</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3211</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Službena putovanja</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24,89</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3212</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Naknade za prijevoz, za rad na terenu i odvojeni život</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789,48</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322</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Rashodi za materijal i energiju</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13.880,34</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3221</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Uredski materijal i ostali materijalni rashodi</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5.723,62</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3223</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Energija</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7.844,56</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3225</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Sitni inventar i autogume</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312,16</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323</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Rashodi za usluge</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57.836,13</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3231</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Usluge telefona, interneta, pošte i prijevoza</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1.705,56</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3232</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Usluge tekućeg i investicijskog održavanja</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7.005,12</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3233</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Usluge promidžbe i informiranja</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138,76</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3234</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Komunalne usluge</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12.200,86</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3235</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Zakupnine i najamnine</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1.263,09</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3236</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Zdravstvene i veterinarske usluge</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1.248,65</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3237</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Intelektualne i osobne usluge</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26.540,89</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3238</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Računalne usluge</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4.447,20</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3239</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Ostale usluge</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3.286,00</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329</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Ostali nespomenuti rashodi poslovanja</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19.660,32</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3291</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Naknade za rad predstavničkih i izvršnih tijela, povjerenstava i slično</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3.072,54</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3292</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Premije osiguranja</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2.222,09</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3293</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Reprezentacija</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3.872,62</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3295</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Pristojbe i naknade</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2.488,97</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3299</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Ostali nespomenuti rashodi poslovanja</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8.004,10</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34</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Financijski rashodi</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2.852,80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4.930,00</w:t>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2.008,35</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70,39</w:t>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40,74</w:t>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343</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Ostali financijski rashodi</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2.008,35</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3431</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Bankarske usluge i usluge platnog prometa</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1.918,16</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3434</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Ostali nespomenuti financijski rashodi</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90,19</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36</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Pomoći dane u inozemstvo i unutar općeg proračuna</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15.695,97</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11.050,00</w:t>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19.213,58</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122,41</w:t>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173,88</w:t>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366</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Pomoći proračunskim korisnicima drugih proračuna</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19.213,58</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3661</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Tekuće pomoći proračunskim korisnicima drugih proračuna</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19.213,58</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25"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37</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Naknade građanima i kućanstvima na temelju osiguranja i druge naknade</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30.283,10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95.050,00</w:t>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37.123,02</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122,59</w:t>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39,06</w:t>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372</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Ostale naknade građanima i kućanstvima iz proračuna</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37.123,02</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3721</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Naknade građanima i kućanstvima u novcu</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25.748,94</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3722</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Naknade građanima i kućanstvima u naravi</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11.374,08</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Rashodi za donacije, kazne, naknade šteta i kapitalne pomoći</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63.713,61</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152.471,00</w:t>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69.425,00</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108,96</w:t>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45,53</w:t>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381</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Tekuće donacije</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58.925,00</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3811</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Tekuće donacije u novcu</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58.925,00</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386</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Kapitalne pomoći</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10.500,00</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3863</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Kapitalne pomoći poljoprivrednicima i obrtnicima</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10.500,00</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Rashodi za nabavu nefinancijske imovine</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154.199,35</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581.668,00</w:t>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150.658,49</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97,7</w:t>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25,9</w:t>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42</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Rashodi za nabavu proizvedene dugotrajne imovine</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39.411,98</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155.968,00</w:t>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w:t>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w:t>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45</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Rashodi za dodatna ulaganja na nefinancijskoj imovini</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114.787,37</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425.700,00</w:t>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150.658,49</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131,25</w:t>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35,39</w:t>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451</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Dodatna ulaganja na građevinskim objektima</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150.658,49</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56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4511</w:t>
            </w:r>
          </w:p>
        </w:tc>
        <w:tc>
          <w:tcPr>
            <w:tcW w:w="33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Dodatna ulaganja na građevinskim objektima</w:t>
            </w:r>
          </w:p>
        </w:tc>
        <w:tc>
          <w:tcPr>
            <w:tcW w:w="171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32"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150.658,49</w:t>
            </w:r>
          </w:p>
        </w:tc>
        <w:tc>
          <w:tcPr>
            <w:tcW w:w="79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1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bl>
    <w:p>
      <w:pPr>
        <w:pStyle w:val="Normal"/>
        <w:bidi w:val="0"/>
        <w:jc w:val="center"/>
        <w:rPr>
          <w:rFonts w:ascii="Times New Roman" w:hAnsi="Times New Roman"/>
        </w:rPr>
      </w:pPr>
      <w:r>
        <w:rPr>
          <w:rFonts w:ascii="Times New Roman" w:hAnsi="Times New Roman"/>
          <w:b/>
          <w:bCs/>
        </w:rPr>
        <w:t>1.2.2. IZVJEŠTAJ O PRIHODIMA I RASHODIMA PREMA IZVORIMA FINANCIRANJA</w:t>
      </w:r>
    </w:p>
    <w:tbl>
      <w:tblPr>
        <w:tblW w:w="10050" w:type="dxa"/>
        <w:jc w:val="left"/>
        <w:tblInd w:w="0" w:type="dxa"/>
        <w:tblLayout w:type="fixed"/>
        <w:tblCellMar>
          <w:top w:w="0" w:type="dxa"/>
          <w:left w:w="7" w:type="dxa"/>
          <w:bottom w:w="0" w:type="dxa"/>
          <w:right w:w="7" w:type="dxa"/>
        </w:tblCellMar>
      </w:tblPr>
      <w:tblGrid>
        <w:gridCol w:w="478"/>
        <w:gridCol w:w="2547"/>
        <w:gridCol w:w="1833"/>
        <w:gridCol w:w="1850"/>
        <w:gridCol w:w="1847"/>
        <w:gridCol w:w="779"/>
        <w:gridCol w:w="715"/>
      </w:tblGrid>
      <w:tr>
        <w:trPr>
          <w:trHeight w:val="555" w:hRule="atLeast"/>
        </w:trPr>
        <w:tc>
          <w:tcPr>
            <w:tcW w:w="3025"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Brojčana oznaka i naziv</w:t>
            </w:r>
          </w:p>
        </w:tc>
        <w:tc>
          <w:tcPr>
            <w:tcW w:w="18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Ostvarenje / izvršenje 30.6.2025.</w:t>
            </w:r>
          </w:p>
        </w:tc>
        <w:tc>
          <w:tcPr>
            <w:tcW w:w="185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Plan za 2026. godinu</w:t>
            </w:r>
          </w:p>
        </w:tc>
        <w:tc>
          <w:tcPr>
            <w:tcW w:w="184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Ostvarenje / izvršenje 30.6.2026.</w:t>
            </w:r>
          </w:p>
        </w:tc>
        <w:tc>
          <w:tcPr>
            <w:tcW w:w="77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 xml:space="preserve">Indeks </w:t>
              <w:br/>
              <w:t>4 / 2</w:t>
            </w:r>
          </w:p>
        </w:tc>
        <w:tc>
          <w:tcPr>
            <w:tcW w:w="71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Indeks</w:t>
              <w:br/>
              <w:t> 4 / 3</w:t>
            </w:r>
          </w:p>
        </w:tc>
      </w:tr>
      <w:tr>
        <w:trPr>
          <w:trHeight w:val="225" w:hRule="atLeast"/>
        </w:trPr>
        <w:tc>
          <w:tcPr>
            <w:tcW w:w="3025"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w:t>
            </w:r>
          </w:p>
        </w:tc>
        <w:tc>
          <w:tcPr>
            <w:tcW w:w="18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w:t>
            </w:r>
          </w:p>
        </w:tc>
        <w:tc>
          <w:tcPr>
            <w:tcW w:w="185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w:t>
            </w:r>
          </w:p>
        </w:tc>
        <w:tc>
          <w:tcPr>
            <w:tcW w:w="184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w:t>
            </w:r>
          </w:p>
        </w:tc>
        <w:tc>
          <w:tcPr>
            <w:tcW w:w="77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w:t>
            </w:r>
          </w:p>
        </w:tc>
        <w:tc>
          <w:tcPr>
            <w:tcW w:w="71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w:t>
            </w:r>
          </w:p>
        </w:tc>
      </w:tr>
      <w:tr>
        <w:trPr>
          <w:trHeight w:val="510" w:hRule="atLeast"/>
        </w:trPr>
        <w:tc>
          <w:tcPr>
            <w:tcW w:w="4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254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UKUPNO PRIHODI</w:t>
            </w:r>
          </w:p>
        </w:tc>
        <w:tc>
          <w:tcPr>
            <w:tcW w:w="18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630.052,83</w:t>
            </w:r>
          </w:p>
        </w:tc>
        <w:tc>
          <w:tcPr>
            <w:tcW w:w="185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1.310.458,00</w:t>
            </w:r>
          </w:p>
        </w:tc>
        <w:tc>
          <w:tcPr>
            <w:tcW w:w="184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603.555,56</w:t>
            </w:r>
          </w:p>
        </w:tc>
        <w:tc>
          <w:tcPr>
            <w:tcW w:w="77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95,79</w:t>
            </w:r>
          </w:p>
        </w:tc>
        <w:tc>
          <w:tcPr>
            <w:tcW w:w="71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46,06</w:t>
            </w:r>
          </w:p>
        </w:tc>
      </w:tr>
      <w:tr>
        <w:trPr>
          <w:trHeight w:val="510" w:hRule="atLeast"/>
        </w:trPr>
        <w:tc>
          <w:tcPr>
            <w:tcW w:w="4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w:t>
            </w:r>
          </w:p>
        </w:tc>
        <w:tc>
          <w:tcPr>
            <w:tcW w:w="254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OPĆI PRIHODI I PRIMICI</w:t>
            </w:r>
          </w:p>
        </w:tc>
        <w:tc>
          <w:tcPr>
            <w:tcW w:w="18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66.975,76</w:t>
            </w:r>
          </w:p>
        </w:tc>
        <w:tc>
          <w:tcPr>
            <w:tcW w:w="185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498.450,00</w:t>
            </w:r>
          </w:p>
        </w:tc>
        <w:tc>
          <w:tcPr>
            <w:tcW w:w="184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237.121,25</w:t>
            </w:r>
          </w:p>
        </w:tc>
        <w:tc>
          <w:tcPr>
            <w:tcW w:w="77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354,04</w:t>
            </w:r>
          </w:p>
        </w:tc>
        <w:tc>
          <w:tcPr>
            <w:tcW w:w="71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47,57</w:t>
            </w:r>
          </w:p>
        </w:tc>
      </w:tr>
      <w:tr>
        <w:trPr>
          <w:trHeight w:val="510" w:hRule="atLeast"/>
        </w:trPr>
        <w:tc>
          <w:tcPr>
            <w:tcW w:w="4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11</w:t>
            </w:r>
          </w:p>
        </w:tc>
        <w:tc>
          <w:tcPr>
            <w:tcW w:w="254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OPĆI PRIHODI I PRIMICI</w:t>
            </w:r>
          </w:p>
        </w:tc>
        <w:tc>
          <w:tcPr>
            <w:tcW w:w="18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66.975,76</w:t>
            </w:r>
          </w:p>
        </w:tc>
        <w:tc>
          <w:tcPr>
            <w:tcW w:w="185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498.450,00</w:t>
            </w:r>
          </w:p>
        </w:tc>
        <w:tc>
          <w:tcPr>
            <w:tcW w:w="184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237.121,25</w:t>
            </w:r>
          </w:p>
        </w:tc>
        <w:tc>
          <w:tcPr>
            <w:tcW w:w="77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354,04</w:t>
            </w:r>
          </w:p>
        </w:tc>
        <w:tc>
          <w:tcPr>
            <w:tcW w:w="71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47,57</w:t>
            </w:r>
          </w:p>
        </w:tc>
      </w:tr>
      <w:tr>
        <w:trPr>
          <w:trHeight w:val="510" w:hRule="atLeast"/>
        </w:trPr>
        <w:tc>
          <w:tcPr>
            <w:tcW w:w="4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w:t>
            </w:r>
          </w:p>
        </w:tc>
        <w:tc>
          <w:tcPr>
            <w:tcW w:w="254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PRIHODI ZA POSEBNE NAMJENE</w:t>
            </w:r>
          </w:p>
        </w:tc>
        <w:tc>
          <w:tcPr>
            <w:tcW w:w="18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8.581,68</w:t>
            </w:r>
          </w:p>
        </w:tc>
        <w:tc>
          <w:tcPr>
            <w:tcW w:w="185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27.290,00</w:t>
            </w:r>
          </w:p>
        </w:tc>
        <w:tc>
          <w:tcPr>
            <w:tcW w:w="184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5.466,47</w:t>
            </w:r>
          </w:p>
        </w:tc>
        <w:tc>
          <w:tcPr>
            <w:tcW w:w="77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63,70</w:t>
            </w:r>
          </w:p>
        </w:tc>
        <w:tc>
          <w:tcPr>
            <w:tcW w:w="71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20,03</w:t>
            </w:r>
          </w:p>
        </w:tc>
      </w:tr>
      <w:tr>
        <w:trPr>
          <w:trHeight w:val="510" w:hRule="atLeast"/>
        </w:trPr>
        <w:tc>
          <w:tcPr>
            <w:tcW w:w="4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43</w:t>
            </w:r>
          </w:p>
        </w:tc>
        <w:tc>
          <w:tcPr>
            <w:tcW w:w="254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OSTALI PRIHODI ZA POSEBNE NAMJENE</w:t>
            </w:r>
          </w:p>
        </w:tc>
        <w:tc>
          <w:tcPr>
            <w:tcW w:w="18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8.581,68</w:t>
            </w:r>
          </w:p>
        </w:tc>
        <w:tc>
          <w:tcPr>
            <w:tcW w:w="185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27.290,00</w:t>
            </w:r>
          </w:p>
        </w:tc>
        <w:tc>
          <w:tcPr>
            <w:tcW w:w="184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5.466,47</w:t>
            </w:r>
          </w:p>
        </w:tc>
        <w:tc>
          <w:tcPr>
            <w:tcW w:w="77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63,70</w:t>
            </w:r>
          </w:p>
        </w:tc>
        <w:tc>
          <w:tcPr>
            <w:tcW w:w="71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20,03</w:t>
            </w:r>
          </w:p>
        </w:tc>
      </w:tr>
      <w:tr>
        <w:trPr>
          <w:trHeight w:val="510" w:hRule="atLeast"/>
        </w:trPr>
        <w:tc>
          <w:tcPr>
            <w:tcW w:w="4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w:t>
            </w:r>
          </w:p>
        </w:tc>
        <w:tc>
          <w:tcPr>
            <w:tcW w:w="254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POMOĆI</w:t>
            </w:r>
          </w:p>
        </w:tc>
        <w:tc>
          <w:tcPr>
            <w:tcW w:w="18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354.495,39</w:t>
            </w:r>
          </w:p>
        </w:tc>
        <w:tc>
          <w:tcPr>
            <w:tcW w:w="185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484.718,00</w:t>
            </w:r>
          </w:p>
        </w:tc>
        <w:tc>
          <w:tcPr>
            <w:tcW w:w="184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160.967,84</w:t>
            </w:r>
          </w:p>
        </w:tc>
        <w:tc>
          <w:tcPr>
            <w:tcW w:w="77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45,41</w:t>
            </w:r>
          </w:p>
        </w:tc>
        <w:tc>
          <w:tcPr>
            <w:tcW w:w="71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33,21</w:t>
            </w:r>
          </w:p>
        </w:tc>
      </w:tr>
      <w:tr>
        <w:trPr>
          <w:trHeight w:val="510" w:hRule="atLeast"/>
        </w:trPr>
        <w:tc>
          <w:tcPr>
            <w:tcW w:w="4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50</w:t>
            </w:r>
          </w:p>
        </w:tc>
        <w:tc>
          <w:tcPr>
            <w:tcW w:w="254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POMOĆI IZ DRŽAVNOG PRORAČUNA</w:t>
            </w:r>
          </w:p>
        </w:tc>
        <w:tc>
          <w:tcPr>
            <w:tcW w:w="18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85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55.000,00</w:t>
            </w:r>
          </w:p>
        </w:tc>
        <w:tc>
          <w:tcPr>
            <w:tcW w:w="184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12.555,39</w:t>
            </w:r>
          </w:p>
        </w:tc>
        <w:tc>
          <w:tcPr>
            <w:tcW w:w="77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1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22,83</w:t>
            </w:r>
          </w:p>
        </w:tc>
      </w:tr>
      <w:tr>
        <w:trPr>
          <w:trHeight w:val="510" w:hRule="atLeast"/>
        </w:trPr>
        <w:tc>
          <w:tcPr>
            <w:tcW w:w="4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52</w:t>
            </w:r>
          </w:p>
        </w:tc>
        <w:tc>
          <w:tcPr>
            <w:tcW w:w="254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OSTALE POMOĆI</w:t>
            </w:r>
          </w:p>
        </w:tc>
        <w:tc>
          <w:tcPr>
            <w:tcW w:w="18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167.246,57</w:t>
            </w:r>
          </w:p>
        </w:tc>
        <w:tc>
          <w:tcPr>
            <w:tcW w:w="185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41.450,00</w:t>
            </w:r>
          </w:p>
        </w:tc>
        <w:tc>
          <w:tcPr>
            <w:tcW w:w="184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10.000,00</w:t>
            </w:r>
          </w:p>
        </w:tc>
        <w:tc>
          <w:tcPr>
            <w:tcW w:w="77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5,98</w:t>
            </w:r>
          </w:p>
        </w:tc>
        <w:tc>
          <w:tcPr>
            <w:tcW w:w="71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24,13</w:t>
            </w:r>
          </w:p>
        </w:tc>
      </w:tr>
      <w:tr>
        <w:trPr>
          <w:trHeight w:val="510" w:hRule="atLeast"/>
        </w:trPr>
        <w:tc>
          <w:tcPr>
            <w:tcW w:w="4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56</w:t>
            </w:r>
          </w:p>
        </w:tc>
        <w:tc>
          <w:tcPr>
            <w:tcW w:w="254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FONDOVI EU</w:t>
            </w:r>
          </w:p>
        </w:tc>
        <w:tc>
          <w:tcPr>
            <w:tcW w:w="18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187.248,82</w:t>
            </w:r>
          </w:p>
        </w:tc>
        <w:tc>
          <w:tcPr>
            <w:tcW w:w="185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388.268,00</w:t>
            </w:r>
          </w:p>
        </w:tc>
        <w:tc>
          <w:tcPr>
            <w:tcW w:w="184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138.412,45</w:t>
            </w:r>
          </w:p>
        </w:tc>
        <w:tc>
          <w:tcPr>
            <w:tcW w:w="77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73,92</w:t>
            </w:r>
          </w:p>
        </w:tc>
        <w:tc>
          <w:tcPr>
            <w:tcW w:w="71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35,65</w:t>
            </w:r>
          </w:p>
        </w:tc>
      </w:tr>
      <w:tr>
        <w:trPr>
          <w:trHeight w:val="510" w:hRule="atLeast"/>
        </w:trPr>
        <w:tc>
          <w:tcPr>
            <w:tcW w:w="4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561</w:t>
            </w:r>
          </w:p>
        </w:tc>
        <w:tc>
          <w:tcPr>
            <w:tcW w:w="254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EUROPSKI SOCIJALNI FOND PLUS</w:t>
            </w:r>
          </w:p>
        </w:tc>
        <w:tc>
          <w:tcPr>
            <w:tcW w:w="18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187.248,82</w:t>
            </w:r>
          </w:p>
        </w:tc>
        <w:tc>
          <w:tcPr>
            <w:tcW w:w="185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302.000,00</w:t>
            </w:r>
          </w:p>
        </w:tc>
        <w:tc>
          <w:tcPr>
            <w:tcW w:w="184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138.412,45</w:t>
            </w:r>
          </w:p>
        </w:tc>
        <w:tc>
          <w:tcPr>
            <w:tcW w:w="77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73,92</w:t>
            </w:r>
          </w:p>
        </w:tc>
        <w:tc>
          <w:tcPr>
            <w:tcW w:w="71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45,83</w:t>
            </w:r>
          </w:p>
        </w:tc>
      </w:tr>
      <w:tr>
        <w:trPr>
          <w:trHeight w:val="15" w:hRule="atLeast"/>
        </w:trPr>
        <w:tc>
          <w:tcPr>
            <w:tcW w:w="4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254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8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85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84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77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71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r>
      <w:tr>
        <w:trPr>
          <w:trHeight w:val="510" w:hRule="atLeast"/>
        </w:trPr>
        <w:tc>
          <w:tcPr>
            <w:tcW w:w="4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563</w:t>
            </w:r>
          </w:p>
        </w:tc>
        <w:tc>
          <w:tcPr>
            <w:tcW w:w="254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EUROPSKI FOND ZA REGIONALNI RAZVOJ</w:t>
            </w:r>
          </w:p>
        </w:tc>
        <w:tc>
          <w:tcPr>
            <w:tcW w:w="18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85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86.268,00</w:t>
            </w:r>
          </w:p>
        </w:tc>
        <w:tc>
          <w:tcPr>
            <w:tcW w:w="184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7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1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15" w:hRule="atLeast"/>
        </w:trPr>
        <w:tc>
          <w:tcPr>
            <w:tcW w:w="4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254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8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85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84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77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71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r>
      <w:tr>
        <w:trPr>
          <w:trHeight w:val="510" w:hRule="atLeast"/>
        </w:trPr>
        <w:tc>
          <w:tcPr>
            <w:tcW w:w="4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w:t>
            </w:r>
          </w:p>
        </w:tc>
        <w:tc>
          <w:tcPr>
            <w:tcW w:w="254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DONACIJE</w:t>
            </w:r>
          </w:p>
        </w:tc>
        <w:tc>
          <w:tcPr>
            <w:tcW w:w="18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200.000,00</w:t>
            </w:r>
          </w:p>
        </w:tc>
        <w:tc>
          <w:tcPr>
            <w:tcW w:w="185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300.000,00</w:t>
            </w:r>
          </w:p>
        </w:tc>
        <w:tc>
          <w:tcPr>
            <w:tcW w:w="184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200.000,00</w:t>
            </w:r>
          </w:p>
        </w:tc>
        <w:tc>
          <w:tcPr>
            <w:tcW w:w="77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100,00</w:t>
            </w:r>
          </w:p>
        </w:tc>
        <w:tc>
          <w:tcPr>
            <w:tcW w:w="71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66,67</w:t>
            </w:r>
          </w:p>
        </w:tc>
      </w:tr>
      <w:tr>
        <w:trPr>
          <w:trHeight w:val="510" w:hRule="atLeast"/>
        </w:trPr>
        <w:tc>
          <w:tcPr>
            <w:tcW w:w="4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61</w:t>
            </w:r>
          </w:p>
        </w:tc>
        <w:tc>
          <w:tcPr>
            <w:tcW w:w="254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DONACIJE</w:t>
            </w:r>
          </w:p>
        </w:tc>
        <w:tc>
          <w:tcPr>
            <w:tcW w:w="183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200.000,00</w:t>
            </w:r>
          </w:p>
        </w:tc>
        <w:tc>
          <w:tcPr>
            <w:tcW w:w="185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300.000,00</w:t>
            </w:r>
          </w:p>
        </w:tc>
        <w:tc>
          <w:tcPr>
            <w:tcW w:w="184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200.000,00</w:t>
            </w:r>
          </w:p>
        </w:tc>
        <w:tc>
          <w:tcPr>
            <w:tcW w:w="77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100,00</w:t>
            </w:r>
          </w:p>
        </w:tc>
        <w:tc>
          <w:tcPr>
            <w:tcW w:w="71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66,67</w:t>
            </w:r>
          </w:p>
        </w:tc>
      </w:tr>
    </w:tbl>
    <w:p>
      <w:pPr>
        <w:pStyle w:val="Normal"/>
        <w:bidi w:val="0"/>
        <w:jc w:val="center"/>
        <w:rPr>
          <w:rFonts w:ascii="Times New Roman" w:hAnsi="Times New Roman"/>
          <w:b/>
          <w:b/>
          <w:bCs/>
        </w:rPr>
      </w:pPr>
      <w:r>
        <w:rPr>
          <w:rFonts w:ascii="Times New Roman" w:hAnsi="Times New Roman"/>
          <w:b/>
          <w:bCs/>
        </w:rPr>
      </w:r>
    </w:p>
    <w:tbl>
      <w:tblPr>
        <w:tblW w:w="10050" w:type="dxa"/>
        <w:jc w:val="left"/>
        <w:tblInd w:w="0" w:type="dxa"/>
        <w:tblLayout w:type="fixed"/>
        <w:tblCellMar>
          <w:top w:w="0" w:type="dxa"/>
          <w:left w:w="7" w:type="dxa"/>
          <w:bottom w:w="0" w:type="dxa"/>
          <w:right w:w="7" w:type="dxa"/>
        </w:tblCellMar>
      </w:tblPr>
      <w:tblGrid>
        <w:gridCol w:w="477"/>
        <w:gridCol w:w="2538"/>
        <w:gridCol w:w="1826"/>
        <w:gridCol w:w="1845"/>
        <w:gridCol w:w="1841"/>
        <w:gridCol w:w="859"/>
        <w:gridCol w:w="663"/>
      </w:tblGrid>
      <w:tr>
        <w:trPr>
          <w:trHeight w:val="555" w:hRule="atLeast"/>
        </w:trPr>
        <w:tc>
          <w:tcPr>
            <w:tcW w:w="3015"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Brojčana oznaka i naziv</w:t>
            </w:r>
          </w:p>
        </w:tc>
        <w:tc>
          <w:tcPr>
            <w:tcW w:w="182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Ostvarenje / izvršenje 30.6.2025.</w:t>
            </w:r>
          </w:p>
        </w:tc>
        <w:tc>
          <w:tcPr>
            <w:tcW w:w="184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Plan za 2026. godinu</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Ostvarenje / izvršenje 30.6.2026.</w:t>
            </w:r>
          </w:p>
        </w:tc>
        <w:tc>
          <w:tcPr>
            <w:tcW w:w="8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 xml:space="preserve">Indeks </w:t>
              <w:br/>
              <w:t>4 / 2</w:t>
            </w:r>
          </w:p>
        </w:tc>
        <w:tc>
          <w:tcPr>
            <w:tcW w:w="66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Indeks</w:t>
              <w:br/>
              <w:t> 4 / 3</w:t>
            </w:r>
          </w:p>
        </w:tc>
      </w:tr>
      <w:tr>
        <w:trPr>
          <w:trHeight w:val="225" w:hRule="atLeast"/>
        </w:trPr>
        <w:tc>
          <w:tcPr>
            <w:tcW w:w="3015"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w:t>
            </w:r>
          </w:p>
        </w:tc>
        <w:tc>
          <w:tcPr>
            <w:tcW w:w="182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w:t>
            </w:r>
          </w:p>
        </w:tc>
        <w:tc>
          <w:tcPr>
            <w:tcW w:w="184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w:t>
            </w:r>
          </w:p>
        </w:tc>
        <w:tc>
          <w:tcPr>
            <w:tcW w:w="8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w:t>
            </w:r>
          </w:p>
        </w:tc>
        <w:tc>
          <w:tcPr>
            <w:tcW w:w="66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w:t>
            </w:r>
          </w:p>
        </w:tc>
      </w:tr>
      <w:tr>
        <w:trPr>
          <w:trHeight w:val="510" w:hRule="atLeast"/>
        </w:trPr>
        <w:tc>
          <w:tcPr>
            <w:tcW w:w="47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253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UKUPNO RASHODI</w:t>
            </w:r>
          </w:p>
        </w:tc>
        <w:tc>
          <w:tcPr>
            <w:tcW w:w="182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610.497,34</w:t>
            </w:r>
          </w:p>
        </w:tc>
        <w:tc>
          <w:tcPr>
            <w:tcW w:w="184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1.534.313,09</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594.427,06</w:t>
            </w:r>
          </w:p>
        </w:tc>
        <w:tc>
          <w:tcPr>
            <w:tcW w:w="8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97,37</w:t>
            </w:r>
          </w:p>
        </w:tc>
        <w:tc>
          <w:tcPr>
            <w:tcW w:w="66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38,74</w:t>
            </w:r>
          </w:p>
        </w:tc>
      </w:tr>
      <w:tr>
        <w:trPr>
          <w:trHeight w:val="510" w:hRule="atLeast"/>
        </w:trPr>
        <w:tc>
          <w:tcPr>
            <w:tcW w:w="47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w:t>
            </w:r>
          </w:p>
        </w:tc>
        <w:tc>
          <w:tcPr>
            <w:tcW w:w="253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OPĆI PRIHODI I PRIMICI</w:t>
            </w:r>
          </w:p>
        </w:tc>
        <w:tc>
          <w:tcPr>
            <w:tcW w:w="182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41.591,08</w:t>
            </w:r>
          </w:p>
        </w:tc>
        <w:tc>
          <w:tcPr>
            <w:tcW w:w="184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605.450,00</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270.924,07</w:t>
            </w:r>
          </w:p>
        </w:tc>
        <w:tc>
          <w:tcPr>
            <w:tcW w:w="8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651,40</w:t>
            </w:r>
          </w:p>
        </w:tc>
        <w:tc>
          <w:tcPr>
            <w:tcW w:w="66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44,75</w:t>
            </w:r>
          </w:p>
        </w:tc>
      </w:tr>
      <w:tr>
        <w:trPr>
          <w:trHeight w:val="510" w:hRule="atLeast"/>
        </w:trPr>
        <w:tc>
          <w:tcPr>
            <w:tcW w:w="47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11</w:t>
            </w:r>
          </w:p>
        </w:tc>
        <w:tc>
          <w:tcPr>
            <w:tcW w:w="253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OPĆI PRIHODI I PRIMICI</w:t>
            </w:r>
          </w:p>
        </w:tc>
        <w:tc>
          <w:tcPr>
            <w:tcW w:w="182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41.591,08</w:t>
            </w:r>
          </w:p>
        </w:tc>
        <w:tc>
          <w:tcPr>
            <w:tcW w:w="184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605.450,00</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270.924,07</w:t>
            </w:r>
          </w:p>
        </w:tc>
        <w:tc>
          <w:tcPr>
            <w:tcW w:w="8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651,40</w:t>
            </w:r>
          </w:p>
        </w:tc>
        <w:tc>
          <w:tcPr>
            <w:tcW w:w="66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44,75</w:t>
            </w:r>
          </w:p>
        </w:tc>
      </w:tr>
      <w:tr>
        <w:trPr>
          <w:trHeight w:val="510" w:hRule="atLeast"/>
        </w:trPr>
        <w:tc>
          <w:tcPr>
            <w:tcW w:w="47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w:t>
            </w:r>
          </w:p>
        </w:tc>
        <w:tc>
          <w:tcPr>
            <w:tcW w:w="253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PRIHODI ZA POSEBNE NAMJENE</w:t>
            </w:r>
          </w:p>
        </w:tc>
        <w:tc>
          <w:tcPr>
            <w:tcW w:w="182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400,00</w:t>
            </w:r>
          </w:p>
        </w:tc>
        <w:tc>
          <w:tcPr>
            <w:tcW w:w="184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27.290,00</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11.710,45</w:t>
            </w:r>
          </w:p>
        </w:tc>
        <w:tc>
          <w:tcPr>
            <w:tcW w:w="8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2.927,61</w:t>
            </w:r>
          </w:p>
        </w:tc>
        <w:tc>
          <w:tcPr>
            <w:tcW w:w="66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42,91</w:t>
            </w:r>
          </w:p>
        </w:tc>
      </w:tr>
      <w:tr>
        <w:trPr>
          <w:trHeight w:val="510" w:hRule="atLeast"/>
        </w:trPr>
        <w:tc>
          <w:tcPr>
            <w:tcW w:w="47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43</w:t>
            </w:r>
          </w:p>
        </w:tc>
        <w:tc>
          <w:tcPr>
            <w:tcW w:w="253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OSTALI PRIHODI ZA POSEBNE NAMJENE</w:t>
            </w:r>
          </w:p>
        </w:tc>
        <w:tc>
          <w:tcPr>
            <w:tcW w:w="182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400,00</w:t>
            </w:r>
          </w:p>
        </w:tc>
        <w:tc>
          <w:tcPr>
            <w:tcW w:w="184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27.290,00</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11.710,45</w:t>
            </w:r>
          </w:p>
        </w:tc>
        <w:tc>
          <w:tcPr>
            <w:tcW w:w="8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2.927,61</w:t>
            </w:r>
          </w:p>
        </w:tc>
        <w:tc>
          <w:tcPr>
            <w:tcW w:w="66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42,91</w:t>
            </w:r>
          </w:p>
        </w:tc>
      </w:tr>
      <w:tr>
        <w:trPr>
          <w:trHeight w:val="510" w:hRule="atLeast"/>
        </w:trPr>
        <w:tc>
          <w:tcPr>
            <w:tcW w:w="47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w:t>
            </w:r>
          </w:p>
        </w:tc>
        <w:tc>
          <w:tcPr>
            <w:tcW w:w="253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POMOĆI</w:t>
            </w:r>
          </w:p>
        </w:tc>
        <w:tc>
          <w:tcPr>
            <w:tcW w:w="182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388.732,07</w:t>
            </w:r>
          </w:p>
        </w:tc>
        <w:tc>
          <w:tcPr>
            <w:tcW w:w="184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494.718,00</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161.134,05</w:t>
            </w:r>
          </w:p>
        </w:tc>
        <w:tc>
          <w:tcPr>
            <w:tcW w:w="8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41,45</w:t>
            </w:r>
          </w:p>
        </w:tc>
        <w:tc>
          <w:tcPr>
            <w:tcW w:w="66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32,57</w:t>
            </w:r>
          </w:p>
        </w:tc>
      </w:tr>
      <w:tr>
        <w:trPr>
          <w:trHeight w:val="510" w:hRule="atLeast"/>
        </w:trPr>
        <w:tc>
          <w:tcPr>
            <w:tcW w:w="47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50</w:t>
            </w:r>
          </w:p>
        </w:tc>
        <w:tc>
          <w:tcPr>
            <w:tcW w:w="253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POMOĆI IZ DRŽAVNOG PRORAČUNA</w:t>
            </w:r>
          </w:p>
        </w:tc>
        <w:tc>
          <w:tcPr>
            <w:tcW w:w="182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84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55.000,00</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8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66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510" w:hRule="atLeast"/>
        </w:trPr>
        <w:tc>
          <w:tcPr>
            <w:tcW w:w="47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52</w:t>
            </w:r>
          </w:p>
        </w:tc>
        <w:tc>
          <w:tcPr>
            <w:tcW w:w="253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OSTALE POMOĆI</w:t>
            </w:r>
          </w:p>
        </w:tc>
        <w:tc>
          <w:tcPr>
            <w:tcW w:w="182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154.199,35</w:t>
            </w:r>
          </w:p>
        </w:tc>
        <w:tc>
          <w:tcPr>
            <w:tcW w:w="184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51.450,00</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8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66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525" w:hRule="atLeast"/>
        </w:trPr>
        <w:tc>
          <w:tcPr>
            <w:tcW w:w="47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56</w:t>
            </w:r>
          </w:p>
        </w:tc>
        <w:tc>
          <w:tcPr>
            <w:tcW w:w="253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FONDOVI EU</w:t>
            </w:r>
          </w:p>
        </w:tc>
        <w:tc>
          <w:tcPr>
            <w:tcW w:w="182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234.532,72</w:t>
            </w:r>
          </w:p>
        </w:tc>
        <w:tc>
          <w:tcPr>
            <w:tcW w:w="184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388.268,00</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161.134,05</w:t>
            </w:r>
          </w:p>
        </w:tc>
        <w:tc>
          <w:tcPr>
            <w:tcW w:w="8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68,70</w:t>
            </w:r>
          </w:p>
        </w:tc>
        <w:tc>
          <w:tcPr>
            <w:tcW w:w="66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41,50</w:t>
            </w:r>
          </w:p>
        </w:tc>
      </w:tr>
      <w:tr>
        <w:trPr>
          <w:trHeight w:val="510" w:hRule="atLeast"/>
        </w:trPr>
        <w:tc>
          <w:tcPr>
            <w:tcW w:w="47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561</w:t>
            </w:r>
          </w:p>
        </w:tc>
        <w:tc>
          <w:tcPr>
            <w:tcW w:w="253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EUROPSKI SOCIJALNI FOND PLUS</w:t>
            </w:r>
          </w:p>
        </w:tc>
        <w:tc>
          <w:tcPr>
            <w:tcW w:w="182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234.532,72</w:t>
            </w:r>
          </w:p>
        </w:tc>
        <w:tc>
          <w:tcPr>
            <w:tcW w:w="184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302.000,00</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161.134,05</w:t>
            </w:r>
          </w:p>
        </w:tc>
        <w:tc>
          <w:tcPr>
            <w:tcW w:w="8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68,70</w:t>
            </w:r>
          </w:p>
        </w:tc>
        <w:tc>
          <w:tcPr>
            <w:tcW w:w="66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53,36</w:t>
            </w:r>
          </w:p>
        </w:tc>
      </w:tr>
      <w:tr>
        <w:trPr>
          <w:trHeight w:val="15" w:hRule="atLeast"/>
        </w:trPr>
        <w:tc>
          <w:tcPr>
            <w:tcW w:w="47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253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82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84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8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66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r>
      <w:tr>
        <w:trPr>
          <w:trHeight w:val="510" w:hRule="atLeast"/>
        </w:trPr>
        <w:tc>
          <w:tcPr>
            <w:tcW w:w="47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563</w:t>
            </w:r>
          </w:p>
        </w:tc>
        <w:tc>
          <w:tcPr>
            <w:tcW w:w="253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EUROPSKI FOND ZA REGIONALNI RAZVOJ</w:t>
            </w:r>
          </w:p>
        </w:tc>
        <w:tc>
          <w:tcPr>
            <w:tcW w:w="182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84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86.268,00</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8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66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15" w:hRule="atLeast"/>
        </w:trPr>
        <w:tc>
          <w:tcPr>
            <w:tcW w:w="47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253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82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84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8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66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r>
      <w:tr>
        <w:trPr>
          <w:trHeight w:val="510" w:hRule="atLeast"/>
        </w:trPr>
        <w:tc>
          <w:tcPr>
            <w:tcW w:w="47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w:t>
            </w:r>
          </w:p>
        </w:tc>
        <w:tc>
          <w:tcPr>
            <w:tcW w:w="253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DONACIJE</w:t>
            </w:r>
          </w:p>
        </w:tc>
        <w:tc>
          <w:tcPr>
            <w:tcW w:w="182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84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406.855,09</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150.658,49</w:t>
            </w:r>
          </w:p>
        </w:tc>
        <w:tc>
          <w:tcPr>
            <w:tcW w:w="8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66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37,03</w:t>
            </w:r>
          </w:p>
        </w:tc>
      </w:tr>
      <w:tr>
        <w:trPr>
          <w:trHeight w:val="510" w:hRule="atLeast"/>
        </w:trPr>
        <w:tc>
          <w:tcPr>
            <w:tcW w:w="477"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61</w:t>
            </w:r>
          </w:p>
        </w:tc>
        <w:tc>
          <w:tcPr>
            <w:tcW w:w="253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DONACIJE</w:t>
            </w:r>
          </w:p>
        </w:tc>
        <w:tc>
          <w:tcPr>
            <w:tcW w:w="182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84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406.855,09</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150.658,49</w:t>
            </w:r>
          </w:p>
        </w:tc>
        <w:tc>
          <w:tcPr>
            <w:tcW w:w="8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663"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37,03</w:t>
            </w:r>
          </w:p>
        </w:tc>
      </w:tr>
    </w:tbl>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rPr>
      </w:pPr>
      <w:r>
        <w:rPr>
          <w:rFonts w:ascii="Times New Roman" w:hAnsi="Times New Roman"/>
          <w:b/>
          <w:bCs/>
        </w:rPr>
        <w:t>1.2.3. IZVJEŠTAJ O RASHODIMA PREMA FUNKCIJSKOJ KLASIFIKACIJI</w:t>
      </w:r>
    </w:p>
    <w:tbl>
      <w:tblPr>
        <w:tblW w:w="10590" w:type="dxa"/>
        <w:jc w:val="left"/>
        <w:tblInd w:w="0" w:type="dxa"/>
        <w:tblLayout w:type="fixed"/>
        <w:tblCellMar>
          <w:top w:w="0" w:type="dxa"/>
          <w:left w:w="7" w:type="dxa"/>
          <w:bottom w:w="0" w:type="dxa"/>
          <w:right w:w="7" w:type="dxa"/>
        </w:tblCellMar>
      </w:tblPr>
      <w:tblGrid>
        <w:gridCol w:w="3959"/>
        <w:gridCol w:w="1725"/>
        <w:gridCol w:w="1740"/>
        <w:gridCol w:w="1725"/>
        <w:gridCol w:w="720"/>
        <w:gridCol w:w="720"/>
      </w:tblGrid>
      <w:tr>
        <w:trPr>
          <w:trHeight w:val="645" w:hRule="atLeast"/>
        </w:trPr>
        <w:tc>
          <w:tcPr>
            <w:tcW w:w="39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Brojčana oznaka i naziv</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 xml:space="preserve">Izvršenje </w:t>
              <w:br/>
              <w:t>30.6.2025.</w:t>
            </w:r>
          </w:p>
        </w:tc>
        <w:tc>
          <w:tcPr>
            <w:tcW w:w="174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Rebalans za 2026. godinu</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Izvršenje 30.6.2026.</w:t>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Indeks</w:t>
              <w:br/>
              <w:t>4 / 2</w:t>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Indeks</w:t>
              <w:br/>
              <w:t>4 / 3</w:t>
            </w:r>
          </w:p>
        </w:tc>
      </w:tr>
      <w:tr>
        <w:trPr>
          <w:trHeight w:val="225" w:hRule="atLeast"/>
        </w:trPr>
        <w:tc>
          <w:tcPr>
            <w:tcW w:w="39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w:t>
            </w:r>
          </w:p>
        </w:tc>
        <w:tc>
          <w:tcPr>
            <w:tcW w:w="174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w:t>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w:t>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w:t>
            </w:r>
          </w:p>
        </w:tc>
      </w:tr>
      <w:tr>
        <w:trPr>
          <w:trHeight w:val="360" w:hRule="atLeast"/>
        </w:trPr>
        <w:tc>
          <w:tcPr>
            <w:tcW w:w="39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UKUPNO RASHODI</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4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1.534.313,09</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594.427,06</w:t>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38,74</w:t>
            </w:r>
          </w:p>
        </w:tc>
      </w:tr>
      <w:tr>
        <w:trPr>
          <w:trHeight w:val="375" w:hRule="atLeast"/>
        </w:trPr>
        <w:tc>
          <w:tcPr>
            <w:tcW w:w="39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01 Opće javne usluge</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4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875.774,09</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309.031,41</w:t>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35,29</w:t>
            </w:r>
          </w:p>
        </w:tc>
      </w:tr>
      <w:tr>
        <w:trPr>
          <w:trHeight w:val="465" w:hRule="atLeast"/>
        </w:trPr>
        <w:tc>
          <w:tcPr>
            <w:tcW w:w="39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011 Izvršna  i zakonodavna tijela, financijski i fiskalni poslovi, vanjski poslovi</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4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875.774,09</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309.031,41</w:t>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35,29</w:t>
            </w:r>
          </w:p>
        </w:tc>
      </w:tr>
      <w:tr>
        <w:trPr>
          <w:trHeight w:val="360" w:hRule="atLeast"/>
        </w:trPr>
        <w:tc>
          <w:tcPr>
            <w:tcW w:w="39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03 Javni red i sigurnost</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4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9.971,00</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360" w:hRule="atLeast"/>
        </w:trPr>
        <w:tc>
          <w:tcPr>
            <w:tcW w:w="39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032 Usluge protupožarne zaštite</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4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9.971,00</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360" w:hRule="atLeast"/>
        </w:trPr>
        <w:tc>
          <w:tcPr>
            <w:tcW w:w="39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06 Usluge unapređenja stanovanja i zajednice</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4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47.000,00</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27.200,00</w:t>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57,87</w:t>
            </w:r>
          </w:p>
        </w:tc>
      </w:tr>
      <w:tr>
        <w:trPr>
          <w:trHeight w:val="360" w:hRule="atLeast"/>
        </w:trPr>
        <w:tc>
          <w:tcPr>
            <w:tcW w:w="39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062 Razvoj zajednice</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4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45.000,00</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27.200,00</w:t>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60,44</w:t>
            </w:r>
          </w:p>
        </w:tc>
      </w:tr>
      <w:tr>
        <w:trPr>
          <w:trHeight w:val="360" w:hRule="atLeast"/>
        </w:trPr>
        <w:tc>
          <w:tcPr>
            <w:tcW w:w="39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064 Ulična rasvjeta</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4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2.000,00</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360" w:hRule="atLeast"/>
        </w:trPr>
        <w:tc>
          <w:tcPr>
            <w:tcW w:w="39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08 Rekreacija, kultura i religija</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4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255.218,00</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57.425,00</w:t>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22,50</w:t>
            </w:r>
          </w:p>
        </w:tc>
      </w:tr>
      <w:tr>
        <w:trPr>
          <w:trHeight w:val="360" w:hRule="atLeast"/>
        </w:trPr>
        <w:tc>
          <w:tcPr>
            <w:tcW w:w="39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081 Službe rekreacije i sporta</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4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203.468,00</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45.450,00</w:t>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22,34</w:t>
            </w:r>
          </w:p>
        </w:tc>
      </w:tr>
      <w:tr>
        <w:trPr>
          <w:trHeight w:val="360" w:hRule="atLeast"/>
        </w:trPr>
        <w:tc>
          <w:tcPr>
            <w:tcW w:w="39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082 Službe kulture</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4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51.750,00</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11.975,00</w:t>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23,14</w:t>
            </w:r>
          </w:p>
        </w:tc>
      </w:tr>
      <w:tr>
        <w:trPr>
          <w:trHeight w:val="360" w:hRule="atLeast"/>
        </w:trPr>
        <w:tc>
          <w:tcPr>
            <w:tcW w:w="39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09 Obrazovanje</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4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38.050,00</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33.358,56</w:t>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87,67</w:t>
            </w:r>
          </w:p>
        </w:tc>
      </w:tr>
      <w:tr>
        <w:trPr>
          <w:trHeight w:val="360" w:hRule="atLeast"/>
        </w:trPr>
        <w:tc>
          <w:tcPr>
            <w:tcW w:w="39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091 Predškolsko i osnovno obrazovanje</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4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33.050,00</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23.267,48</w:t>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70,40</w:t>
            </w:r>
          </w:p>
        </w:tc>
      </w:tr>
      <w:tr>
        <w:trPr>
          <w:trHeight w:val="360" w:hRule="atLeast"/>
        </w:trPr>
        <w:tc>
          <w:tcPr>
            <w:tcW w:w="39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092 Srednjoškolsko  obrazovanje</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4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5.000,00</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10.091,08</w:t>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201,82</w:t>
            </w:r>
          </w:p>
        </w:tc>
      </w:tr>
      <w:tr>
        <w:trPr>
          <w:trHeight w:val="360" w:hRule="atLeast"/>
        </w:trPr>
        <w:tc>
          <w:tcPr>
            <w:tcW w:w="39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10 Socijalna zaštita</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4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308.300,00</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167.412,09</w:t>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54,30</w:t>
            </w:r>
          </w:p>
        </w:tc>
      </w:tr>
      <w:tr>
        <w:trPr>
          <w:trHeight w:val="360" w:hRule="atLeast"/>
        </w:trPr>
        <w:tc>
          <w:tcPr>
            <w:tcW w:w="39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106 Stanovanje</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4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10.000,00</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465" w:hRule="atLeast"/>
        </w:trPr>
        <w:tc>
          <w:tcPr>
            <w:tcW w:w="39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107 Socijalna pomoć stanovništvu koje nije obuhvaćeno redovnim socijalnim programima</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74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298.300,00</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167.412,09</w:t>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56,12</w:t>
            </w:r>
          </w:p>
        </w:tc>
      </w:tr>
    </w:tbl>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rPr>
      </w:pPr>
      <w:r>
        <w:rPr>
          <w:rFonts w:ascii="Times New Roman" w:hAnsi="Times New Roman"/>
          <w:b/>
          <w:bCs/>
        </w:rPr>
        <w:t>1.3. RAČUN FINANCIRANJA</w:t>
      </w:r>
    </w:p>
    <w:p>
      <w:pPr>
        <w:pStyle w:val="Normal"/>
        <w:bidi w:val="0"/>
        <w:jc w:val="center"/>
        <w:rPr>
          <w:rFonts w:ascii="Times New Roman" w:hAnsi="Times New Roman"/>
        </w:rPr>
      </w:pPr>
      <w:r>
        <w:rPr>
          <w:rFonts w:ascii="Times New Roman" w:hAnsi="Times New Roman"/>
          <w:b/>
          <w:bCs/>
        </w:rPr>
        <w:t>1.3.1. IZVJEŠTAJ RAČUNA FINANCIRANJA PREMA EKONOMSKOJ KLASIFIKACIJI</w:t>
      </w:r>
    </w:p>
    <w:tbl>
      <w:tblPr>
        <w:tblW w:w="10590" w:type="dxa"/>
        <w:jc w:val="left"/>
        <w:tblInd w:w="0" w:type="dxa"/>
        <w:tblLayout w:type="fixed"/>
        <w:tblCellMar>
          <w:top w:w="0" w:type="dxa"/>
          <w:left w:w="7" w:type="dxa"/>
          <w:bottom w:w="0" w:type="dxa"/>
          <w:right w:w="7" w:type="dxa"/>
        </w:tblCellMar>
      </w:tblPr>
      <w:tblGrid>
        <w:gridCol w:w="584"/>
        <w:gridCol w:w="3375"/>
        <w:gridCol w:w="1725"/>
        <w:gridCol w:w="1740"/>
        <w:gridCol w:w="1725"/>
        <w:gridCol w:w="720"/>
        <w:gridCol w:w="720"/>
      </w:tblGrid>
      <w:tr>
        <w:trPr>
          <w:trHeight w:val="645" w:hRule="atLeast"/>
        </w:trPr>
        <w:tc>
          <w:tcPr>
            <w:tcW w:w="395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Brojčana oznaka i naziv</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Ostvarenje / izvršenje 30.6.2025.</w:t>
            </w:r>
          </w:p>
        </w:tc>
        <w:tc>
          <w:tcPr>
            <w:tcW w:w="174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Rebalans za 2026. godinu</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Ostvarenje / izvršenje 30.6.2026.</w:t>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 xml:space="preserve">Indeks </w:t>
              <w:br/>
              <w:t>4 / 2</w:t>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Indeks</w:t>
              <w:br/>
              <w:t> 4 / 3</w:t>
            </w:r>
          </w:p>
        </w:tc>
      </w:tr>
      <w:tr>
        <w:trPr>
          <w:trHeight w:val="225" w:hRule="atLeast"/>
        </w:trPr>
        <w:tc>
          <w:tcPr>
            <w:tcW w:w="395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w:t>
            </w:r>
          </w:p>
        </w:tc>
        <w:tc>
          <w:tcPr>
            <w:tcW w:w="174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w:t>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w:t>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w:t>
            </w:r>
          </w:p>
        </w:tc>
      </w:tr>
      <w:tr>
        <w:trPr>
          <w:trHeight w:val="360" w:hRule="atLeast"/>
        </w:trPr>
        <w:tc>
          <w:tcPr>
            <w:tcW w:w="58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337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4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360" w:hRule="atLeast"/>
        </w:trPr>
        <w:tc>
          <w:tcPr>
            <w:tcW w:w="58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337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4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360" w:hRule="atLeast"/>
        </w:trPr>
        <w:tc>
          <w:tcPr>
            <w:tcW w:w="58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337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4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360" w:hRule="atLeast"/>
        </w:trPr>
        <w:tc>
          <w:tcPr>
            <w:tcW w:w="58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337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4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bl>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rPr>
      </w:pPr>
      <w:r>
        <w:rPr>
          <w:rFonts w:ascii="Times New Roman" w:hAnsi="Times New Roman"/>
          <w:b/>
          <w:bCs/>
        </w:rPr>
        <w:t>1.3.2. IZVJEŠTAJ RAČUNA FINANCIRANJA PREMA IZVORIMA FINANCIRANJA</w:t>
      </w:r>
    </w:p>
    <w:tbl>
      <w:tblPr>
        <w:tblW w:w="10050" w:type="dxa"/>
        <w:jc w:val="left"/>
        <w:tblInd w:w="0" w:type="dxa"/>
        <w:tblLayout w:type="fixed"/>
        <w:tblCellMar>
          <w:top w:w="0" w:type="dxa"/>
          <w:left w:w="7" w:type="dxa"/>
          <w:bottom w:w="0" w:type="dxa"/>
          <w:right w:w="7" w:type="dxa"/>
        </w:tblCellMar>
      </w:tblPr>
      <w:tblGrid>
        <w:gridCol w:w="480"/>
        <w:gridCol w:w="2565"/>
        <w:gridCol w:w="1845"/>
        <w:gridCol w:w="1859"/>
        <w:gridCol w:w="1860"/>
        <w:gridCol w:w="780"/>
        <w:gridCol w:w="660"/>
      </w:tblGrid>
      <w:tr>
        <w:trPr>
          <w:trHeight w:val="555" w:hRule="atLeast"/>
        </w:trPr>
        <w:tc>
          <w:tcPr>
            <w:tcW w:w="3045"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Brojčana oznaka i naziv</w:t>
            </w:r>
          </w:p>
        </w:tc>
        <w:tc>
          <w:tcPr>
            <w:tcW w:w="184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Ostvarenje / izvršenje 30.6.2025.</w:t>
            </w:r>
          </w:p>
        </w:tc>
        <w:tc>
          <w:tcPr>
            <w:tcW w:w="18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Plan za 2026. godinu</w:t>
            </w:r>
          </w:p>
        </w:tc>
        <w:tc>
          <w:tcPr>
            <w:tcW w:w="186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Ostvarenje / izvršenje 30.6.2026.</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 xml:space="preserve">Indeks </w:t>
              <w:br/>
              <w:t>4 / 2</w:t>
            </w:r>
          </w:p>
        </w:tc>
        <w:tc>
          <w:tcPr>
            <w:tcW w:w="66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Indeks</w:t>
              <w:br/>
              <w:t> 4 / 3</w:t>
            </w:r>
          </w:p>
        </w:tc>
      </w:tr>
      <w:tr>
        <w:trPr>
          <w:trHeight w:val="225" w:hRule="atLeast"/>
        </w:trPr>
        <w:tc>
          <w:tcPr>
            <w:tcW w:w="3045"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val="false"/>
                <w:bCs w:val="false"/>
              </w:rPr>
              <w:t>1</w:t>
            </w:r>
          </w:p>
        </w:tc>
        <w:tc>
          <w:tcPr>
            <w:tcW w:w="184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val="false"/>
                <w:bCs w:val="false"/>
              </w:rPr>
              <w:t>2</w:t>
            </w:r>
          </w:p>
        </w:tc>
        <w:tc>
          <w:tcPr>
            <w:tcW w:w="18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val="false"/>
                <w:bCs w:val="false"/>
              </w:rPr>
              <w:t>3</w:t>
            </w:r>
          </w:p>
        </w:tc>
        <w:tc>
          <w:tcPr>
            <w:tcW w:w="186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val="false"/>
                <w:bCs w:val="false"/>
              </w:rPr>
              <w:t>4</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val="false"/>
                <w:bCs w:val="false"/>
              </w:rPr>
              <w:t>5</w:t>
            </w:r>
          </w:p>
        </w:tc>
        <w:tc>
          <w:tcPr>
            <w:tcW w:w="66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val="false"/>
                <w:bCs w:val="false"/>
              </w:rPr>
              <w:t>6</w:t>
            </w:r>
          </w:p>
        </w:tc>
      </w:tr>
      <w:tr>
        <w:trPr>
          <w:trHeight w:val="510" w:hRule="atLeast"/>
        </w:trPr>
        <w:tc>
          <w:tcPr>
            <w:tcW w:w="4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b w:val="false"/>
                <w:b w:val="false"/>
                <w:bCs w:val="false"/>
              </w:rPr>
            </w:pPr>
            <w:r>
              <w:rPr>
                <w:rFonts w:ascii="Times New Roman" w:hAnsi="Times New Roman"/>
                <w:b w:val="false"/>
                <w:bCs w:val="false"/>
              </w:rPr>
            </w:r>
          </w:p>
        </w:tc>
        <w:tc>
          <w:tcPr>
            <w:tcW w:w="256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val="false"/>
                <w:bCs w:val="false"/>
              </w:rPr>
              <w:t>UKUPNO RASHODI</w:t>
            </w:r>
          </w:p>
        </w:tc>
        <w:tc>
          <w:tcPr>
            <w:tcW w:w="184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b w:val="false"/>
                <w:b w:val="false"/>
                <w:bCs w:val="false"/>
              </w:rPr>
            </w:pPr>
            <w:r>
              <w:rPr>
                <w:rFonts w:ascii="Times New Roman" w:hAnsi="Times New Roman"/>
                <w:b w:val="false"/>
                <w:bCs w:val="false"/>
              </w:rPr>
            </w:r>
          </w:p>
        </w:tc>
        <w:tc>
          <w:tcPr>
            <w:tcW w:w="18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b w:val="false"/>
                <w:b w:val="false"/>
                <w:bCs w:val="false"/>
              </w:rPr>
            </w:pPr>
            <w:r>
              <w:rPr>
                <w:rFonts w:ascii="Times New Roman" w:hAnsi="Times New Roman"/>
                <w:b w:val="false"/>
                <w:bCs w:val="false"/>
              </w:rPr>
            </w:r>
          </w:p>
        </w:tc>
        <w:tc>
          <w:tcPr>
            <w:tcW w:w="186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b w:val="false"/>
                <w:b w:val="false"/>
                <w:bCs w:val="false"/>
              </w:rPr>
            </w:pPr>
            <w:r>
              <w:rPr>
                <w:rFonts w:ascii="Times New Roman" w:hAnsi="Times New Roman"/>
                <w:b w:val="false"/>
                <w:bCs w:val="false"/>
              </w:rPr>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b w:val="false"/>
                <w:b w:val="false"/>
                <w:bCs w:val="false"/>
              </w:rPr>
            </w:pPr>
            <w:r>
              <w:rPr>
                <w:rFonts w:ascii="Times New Roman" w:hAnsi="Times New Roman"/>
                <w:b w:val="false"/>
                <w:bCs w:val="false"/>
              </w:rPr>
            </w:r>
          </w:p>
        </w:tc>
        <w:tc>
          <w:tcPr>
            <w:tcW w:w="66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b w:val="false"/>
                <w:b w:val="false"/>
                <w:bCs w:val="false"/>
              </w:rPr>
            </w:pPr>
            <w:r>
              <w:rPr>
                <w:rFonts w:ascii="Times New Roman" w:hAnsi="Times New Roman"/>
                <w:b w:val="false"/>
                <w:bCs w:val="false"/>
              </w:rPr>
            </w:r>
          </w:p>
        </w:tc>
      </w:tr>
      <w:tr>
        <w:trPr>
          <w:trHeight w:val="510" w:hRule="atLeast"/>
        </w:trPr>
        <w:tc>
          <w:tcPr>
            <w:tcW w:w="4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b w:val="false"/>
                <w:b w:val="false"/>
                <w:bCs w:val="false"/>
              </w:rPr>
            </w:pPr>
            <w:r>
              <w:rPr>
                <w:rFonts w:ascii="Times New Roman" w:hAnsi="Times New Roman"/>
                <w:b w:val="false"/>
                <w:bCs w:val="false"/>
              </w:rPr>
            </w:r>
          </w:p>
        </w:tc>
        <w:tc>
          <w:tcPr>
            <w:tcW w:w="256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b w:val="false"/>
                <w:b w:val="false"/>
                <w:bCs w:val="false"/>
              </w:rPr>
            </w:pPr>
            <w:r>
              <w:rPr>
                <w:rFonts w:ascii="Times New Roman" w:hAnsi="Times New Roman"/>
                <w:b w:val="false"/>
                <w:bCs w:val="false"/>
              </w:rPr>
            </w:r>
          </w:p>
        </w:tc>
        <w:tc>
          <w:tcPr>
            <w:tcW w:w="184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b w:val="false"/>
                <w:b w:val="false"/>
                <w:bCs w:val="false"/>
              </w:rPr>
            </w:pPr>
            <w:r>
              <w:rPr>
                <w:rFonts w:ascii="Times New Roman" w:hAnsi="Times New Roman"/>
                <w:b w:val="false"/>
                <w:bCs w:val="false"/>
              </w:rPr>
            </w:r>
          </w:p>
        </w:tc>
        <w:tc>
          <w:tcPr>
            <w:tcW w:w="18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b w:val="false"/>
                <w:b w:val="false"/>
                <w:bCs w:val="false"/>
              </w:rPr>
            </w:pPr>
            <w:r>
              <w:rPr>
                <w:rFonts w:ascii="Times New Roman" w:hAnsi="Times New Roman"/>
                <w:b w:val="false"/>
                <w:bCs w:val="false"/>
              </w:rPr>
            </w:r>
          </w:p>
        </w:tc>
        <w:tc>
          <w:tcPr>
            <w:tcW w:w="186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b w:val="false"/>
                <w:b w:val="false"/>
                <w:bCs w:val="false"/>
              </w:rPr>
            </w:pPr>
            <w:r>
              <w:rPr>
                <w:rFonts w:ascii="Times New Roman" w:hAnsi="Times New Roman"/>
                <w:b w:val="false"/>
                <w:bCs w:val="false"/>
              </w:rPr>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b w:val="false"/>
                <w:b w:val="false"/>
                <w:bCs w:val="false"/>
              </w:rPr>
            </w:pPr>
            <w:r>
              <w:rPr>
                <w:rFonts w:ascii="Times New Roman" w:hAnsi="Times New Roman"/>
                <w:b w:val="false"/>
                <w:bCs w:val="false"/>
              </w:rPr>
            </w:r>
          </w:p>
        </w:tc>
        <w:tc>
          <w:tcPr>
            <w:tcW w:w="66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b w:val="false"/>
                <w:b w:val="false"/>
                <w:bCs w:val="false"/>
              </w:rPr>
            </w:pPr>
            <w:r>
              <w:rPr>
                <w:rFonts w:ascii="Times New Roman" w:hAnsi="Times New Roman"/>
                <w:b w:val="false"/>
                <w:bCs w:val="false"/>
              </w:rPr>
            </w:r>
          </w:p>
        </w:tc>
      </w:tr>
      <w:tr>
        <w:trPr>
          <w:trHeight w:val="510" w:hRule="atLeast"/>
        </w:trPr>
        <w:tc>
          <w:tcPr>
            <w:tcW w:w="4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b w:val="false"/>
                <w:b w:val="false"/>
                <w:bCs w:val="false"/>
              </w:rPr>
            </w:pPr>
            <w:r>
              <w:rPr>
                <w:rFonts w:ascii="Times New Roman" w:hAnsi="Times New Roman"/>
                <w:b w:val="false"/>
                <w:bCs w:val="false"/>
              </w:rPr>
            </w:r>
          </w:p>
        </w:tc>
        <w:tc>
          <w:tcPr>
            <w:tcW w:w="256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b w:val="false"/>
                <w:b w:val="false"/>
                <w:bCs w:val="false"/>
              </w:rPr>
            </w:pPr>
            <w:r>
              <w:rPr>
                <w:rFonts w:ascii="Times New Roman" w:hAnsi="Times New Roman"/>
                <w:b w:val="false"/>
                <w:bCs w:val="false"/>
              </w:rPr>
            </w:r>
          </w:p>
        </w:tc>
        <w:tc>
          <w:tcPr>
            <w:tcW w:w="184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b w:val="false"/>
                <w:b w:val="false"/>
                <w:bCs w:val="false"/>
              </w:rPr>
            </w:pPr>
            <w:r>
              <w:rPr>
                <w:rFonts w:ascii="Times New Roman" w:hAnsi="Times New Roman"/>
                <w:b w:val="false"/>
                <w:bCs w:val="false"/>
              </w:rPr>
            </w:r>
          </w:p>
        </w:tc>
        <w:tc>
          <w:tcPr>
            <w:tcW w:w="18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b w:val="false"/>
                <w:b w:val="false"/>
                <w:bCs w:val="false"/>
              </w:rPr>
            </w:pPr>
            <w:r>
              <w:rPr>
                <w:rFonts w:ascii="Times New Roman" w:hAnsi="Times New Roman"/>
                <w:b w:val="false"/>
                <w:bCs w:val="false"/>
              </w:rPr>
            </w:r>
          </w:p>
        </w:tc>
        <w:tc>
          <w:tcPr>
            <w:tcW w:w="186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b w:val="false"/>
                <w:b w:val="false"/>
                <w:bCs w:val="false"/>
              </w:rPr>
            </w:pPr>
            <w:r>
              <w:rPr>
                <w:rFonts w:ascii="Times New Roman" w:hAnsi="Times New Roman"/>
                <w:b w:val="false"/>
                <w:bCs w:val="false"/>
              </w:rPr>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b w:val="false"/>
                <w:b w:val="false"/>
                <w:bCs w:val="false"/>
              </w:rPr>
            </w:pPr>
            <w:r>
              <w:rPr>
                <w:rFonts w:ascii="Times New Roman" w:hAnsi="Times New Roman"/>
                <w:b w:val="false"/>
                <w:bCs w:val="false"/>
              </w:rPr>
            </w:r>
          </w:p>
        </w:tc>
        <w:tc>
          <w:tcPr>
            <w:tcW w:w="66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b w:val="false"/>
                <w:b w:val="false"/>
                <w:bCs w:val="false"/>
              </w:rPr>
            </w:pPr>
            <w:r>
              <w:rPr>
                <w:rFonts w:ascii="Times New Roman" w:hAnsi="Times New Roman"/>
                <w:b w:val="false"/>
                <w:bCs w:val="false"/>
              </w:rPr>
            </w:r>
          </w:p>
        </w:tc>
      </w:tr>
      <w:tr>
        <w:trPr>
          <w:trHeight w:val="510" w:hRule="atLeast"/>
        </w:trPr>
        <w:tc>
          <w:tcPr>
            <w:tcW w:w="4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b w:val="false"/>
                <w:b w:val="false"/>
                <w:bCs w:val="false"/>
              </w:rPr>
            </w:pPr>
            <w:r>
              <w:rPr>
                <w:rFonts w:ascii="Times New Roman" w:hAnsi="Times New Roman"/>
                <w:b w:val="false"/>
                <w:bCs w:val="false"/>
              </w:rPr>
            </w:r>
          </w:p>
        </w:tc>
        <w:tc>
          <w:tcPr>
            <w:tcW w:w="256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b w:val="false"/>
                <w:b w:val="false"/>
                <w:bCs w:val="false"/>
              </w:rPr>
            </w:pPr>
            <w:r>
              <w:rPr>
                <w:rFonts w:ascii="Times New Roman" w:hAnsi="Times New Roman"/>
                <w:b w:val="false"/>
                <w:bCs w:val="false"/>
              </w:rPr>
            </w:r>
          </w:p>
        </w:tc>
        <w:tc>
          <w:tcPr>
            <w:tcW w:w="184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b w:val="false"/>
                <w:b w:val="false"/>
                <w:bCs w:val="false"/>
              </w:rPr>
            </w:pPr>
            <w:r>
              <w:rPr>
                <w:rFonts w:ascii="Times New Roman" w:hAnsi="Times New Roman"/>
                <w:b w:val="false"/>
                <w:bCs w:val="false"/>
              </w:rPr>
            </w:r>
          </w:p>
        </w:tc>
        <w:tc>
          <w:tcPr>
            <w:tcW w:w="185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b w:val="false"/>
                <w:b w:val="false"/>
                <w:bCs w:val="false"/>
              </w:rPr>
            </w:pPr>
            <w:r>
              <w:rPr>
                <w:rFonts w:ascii="Times New Roman" w:hAnsi="Times New Roman"/>
                <w:b w:val="false"/>
                <w:bCs w:val="false"/>
              </w:rPr>
            </w:r>
          </w:p>
        </w:tc>
        <w:tc>
          <w:tcPr>
            <w:tcW w:w="186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b w:val="false"/>
                <w:b w:val="false"/>
                <w:bCs w:val="false"/>
              </w:rPr>
            </w:pPr>
            <w:r>
              <w:rPr>
                <w:rFonts w:ascii="Times New Roman" w:hAnsi="Times New Roman"/>
                <w:b w:val="false"/>
                <w:bCs w:val="false"/>
              </w:rPr>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b w:val="false"/>
                <w:b w:val="false"/>
                <w:bCs w:val="false"/>
              </w:rPr>
            </w:pPr>
            <w:r>
              <w:rPr>
                <w:rFonts w:ascii="Times New Roman" w:hAnsi="Times New Roman"/>
                <w:b w:val="false"/>
                <w:bCs w:val="false"/>
              </w:rPr>
            </w:r>
          </w:p>
        </w:tc>
        <w:tc>
          <w:tcPr>
            <w:tcW w:w="66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b w:val="false"/>
                <w:b w:val="false"/>
                <w:bCs w:val="false"/>
              </w:rPr>
            </w:pPr>
            <w:r>
              <w:rPr>
                <w:rFonts w:ascii="Times New Roman" w:hAnsi="Times New Roman"/>
                <w:b w:val="false"/>
                <w:bCs w:val="false"/>
              </w:rPr>
            </w:r>
          </w:p>
        </w:tc>
      </w:tr>
    </w:tbl>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rPr>
      </w:pPr>
      <w:r>
        <w:rPr>
          <w:rFonts w:ascii="Times New Roman" w:hAnsi="Times New Roman"/>
          <w:b/>
          <w:bCs/>
        </w:rPr>
        <w:t>PRENESENI VIŠAK ILI PRENESENI MANJAK</w:t>
      </w:r>
    </w:p>
    <w:tbl>
      <w:tblPr>
        <w:tblW w:w="10590" w:type="dxa"/>
        <w:jc w:val="left"/>
        <w:tblInd w:w="0" w:type="dxa"/>
        <w:tblLayout w:type="fixed"/>
        <w:tblCellMar>
          <w:top w:w="0" w:type="dxa"/>
          <w:left w:w="7" w:type="dxa"/>
          <w:bottom w:w="0" w:type="dxa"/>
          <w:right w:w="7" w:type="dxa"/>
        </w:tblCellMar>
      </w:tblPr>
      <w:tblGrid>
        <w:gridCol w:w="584"/>
        <w:gridCol w:w="3375"/>
        <w:gridCol w:w="1725"/>
        <w:gridCol w:w="1740"/>
        <w:gridCol w:w="1725"/>
        <w:gridCol w:w="720"/>
        <w:gridCol w:w="720"/>
      </w:tblGrid>
      <w:tr>
        <w:trPr>
          <w:trHeight w:val="660" w:hRule="atLeast"/>
        </w:trPr>
        <w:tc>
          <w:tcPr>
            <w:tcW w:w="395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Brojčana oznaka i naziv</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Ostvarenje / izvršenje 30.6.2025.</w:t>
            </w:r>
          </w:p>
        </w:tc>
        <w:tc>
          <w:tcPr>
            <w:tcW w:w="174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Rebalans za 2026. godinu</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Ostvarenje / izvršenje 30.6.2026.</w:t>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 xml:space="preserve">Indeks </w:t>
              <w:br/>
              <w:t>4 / 2</w:t>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Indeks</w:t>
              <w:br/>
              <w:t> 4 / 3</w:t>
            </w:r>
          </w:p>
        </w:tc>
      </w:tr>
      <w:tr>
        <w:trPr>
          <w:trHeight w:val="225" w:hRule="atLeast"/>
        </w:trPr>
        <w:tc>
          <w:tcPr>
            <w:tcW w:w="395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w:t>
            </w:r>
          </w:p>
        </w:tc>
        <w:tc>
          <w:tcPr>
            <w:tcW w:w="174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w:t>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w:t>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w:t>
            </w:r>
          </w:p>
        </w:tc>
      </w:tr>
      <w:tr>
        <w:trPr>
          <w:trHeight w:val="360" w:hRule="atLeast"/>
        </w:trPr>
        <w:tc>
          <w:tcPr>
            <w:tcW w:w="58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9</w:t>
            </w:r>
          </w:p>
        </w:tc>
        <w:tc>
          <w:tcPr>
            <w:tcW w:w="337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Vlastiti izvori</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371.828,81</w:t>
            </w:r>
          </w:p>
        </w:tc>
        <w:tc>
          <w:tcPr>
            <w:tcW w:w="174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223.855,09</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223.855,09</w:t>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60,2</w:t>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100</w:t>
            </w:r>
          </w:p>
        </w:tc>
      </w:tr>
      <w:tr>
        <w:trPr>
          <w:trHeight w:val="360" w:hRule="atLeast"/>
        </w:trPr>
        <w:tc>
          <w:tcPr>
            <w:tcW w:w="58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92</w:t>
            </w:r>
          </w:p>
        </w:tc>
        <w:tc>
          <w:tcPr>
            <w:tcW w:w="337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Rezultat poslovanja</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371.828,81</w:t>
            </w:r>
          </w:p>
        </w:tc>
        <w:tc>
          <w:tcPr>
            <w:tcW w:w="174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223.855,09</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223.855,09</w:t>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60,2</w:t>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100</w:t>
            </w:r>
          </w:p>
        </w:tc>
      </w:tr>
      <w:tr>
        <w:trPr>
          <w:trHeight w:val="360" w:hRule="atLeast"/>
        </w:trPr>
        <w:tc>
          <w:tcPr>
            <w:tcW w:w="58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922</w:t>
            </w:r>
          </w:p>
        </w:tc>
        <w:tc>
          <w:tcPr>
            <w:tcW w:w="337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Rezultat - višak/manjak</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371.828,81</w:t>
            </w:r>
          </w:p>
        </w:tc>
        <w:tc>
          <w:tcPr>
            <w:tcW w:w="174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223.855,09</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223.855,09</w:t>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60,2</w:t>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100</w:t>
            </w:r>
          </w:p>
        </w:tc>
      </w:tr>
      <w:tr>
        <w:trPr>
          <w:trHeight w:val="360" w:hRule="atLeast"/>
        </w:trPr>
        <w:tc>
          <w:tcPr>
            <w:tcW w:w="58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9221</w:t>
            </w:r>
          </w:p>
        </w:tc>
        <w:tc>
          <w:tcPr>
            <w:tcW w:w="337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Višak prihoda i primitaka</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371.828,81</w:t>
            </w:r>
          </w:p>
        </w:tc>
        <w:tc>
          <w:tcPr>
            <w:tcW w:w="174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223.855,09</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223.855,09</w:t>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60,2</w:t>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100</w:t>
            </w:r>
          </w:p>
        </w:tc>
      </w:tr>
      <w:tr>
        <w:trPr>
          <w:trHeight w:val="390" w:hRule="atLeast"/>
        </w:trPr>
        <w:tc>
          <w:tcPr>
            <w:tcW w:w="584"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337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74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r>
      <w:tr>
        <w:trPr>
          <w:trHeight w:val="360" w:hRule="atLeast"/>
        </w:trPr>
        <w:tc>
          <w:tcPr>
            <w:tcW w:w="395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Ukupno</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371.828,81</w:t>
            </w:r>
          </w:p>
        </w:tc>
        <w:tc>
          <w:tcPr>
            <w:tcW w:w="174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223.855,09</w:t>
            </w:r>
          </w:p>
        </w:tc>
        <w:tc>
          <w:tcPr>
            <w:tcW w:w="17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223.855,09</w:t>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60,2</w:t>
            </w:r>
          </w:p>
        </w:tc>
        <w:tc>
          <w:tcPr>
            <w:tcW w:w="72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100</w:t>
            </w:r>
          </w:p>
        </w:tc>
      </w:tr>
    </w:tbl>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rPr>
      </w:pPr>
      <w:r>
        <w:rPr>
          <w:rFonts w:ascii="Times New Roman" w:hAnsi="Times New Roman"/>
          <w:b/>
          <w:bCs/>
        </w:rPr>
        <w:t>2. POSEBNI DIO</w:t>
      </w:r>
    </w:p>
    <w:p>
      <w:pPr>
        <w:pStyle w:val="Normal"/>
        <w:bidi w:val="0"/>
        <w:jc w:val="center"/>
        <w:rPr>
          <w:rFonts w:ascii="Times New Roman" w:hAnsi="Times New Roman"/>
        </w:rPr>
      </w:pPr>
      <w:r>
        <w:rPr>
          <w:rFonts w:ascii="Times New Roman" w:hAnsi="Times New Roman"/>
          <w:b/>
          <w:bCs/>
        </w:rPr>
        <w:t>2.1. IZVJEŠTAJ PO ORGANIZACIJSKOJ KLASIFIKACIJI</w:t>
      </w:r>
    </w:p>
    <w:tbl>
      <w:tblPr>
        <w:tblW w:w="9915" w:type="dxa"/>
        <w:jc w:val="left"/>
        <w:tblInd w:w="0" w:type="dxa"/>
        <w:tblLayout w:type="fixed"/>
        <w:tblCellMar>
          <w:top w:w="0" w:type="dxa"/>
          <w:left w:w="7" w:type="dxa"/>
          <w:bottom w:w="0" w:type="dxa"/>
          <w:right w:w="7" w:type="dxa"/>
        </w:tblCellMar>
      </w:tblPr>
      <w:tblGrid>
        <w:gridCol w:w="1356"/>
        <w:gridCol w:w="4040"/>
        <w:gridCol w:w="1825"/>
        <w:gridCol w:w="1839"/>
        <w:gridCol w:w="855"/>
      </w:tblGrid>
      <w:tr>
        <w:trPr>
          <w:trHeight w:val="555" w:hRule="atLeast"/>
        </w:trPr>
        <w:tc>
          <w:tcPr>
            <w:tcW w:w="5396"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Brojčana oznaka i naziv</w:t>
            </w:r>
          </w:p>
        </w:tc>
        <w:tc>
          <w:tcPr>
            <w:tcW w:w="18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Rebalans za 2026. godinu</w:t>
            </w:r>
          </w:p>
        </w:tc>
        <w:tc>
          <w:tcPr>
            <w:tcW w:w="183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Izvršenje 30.6.2026.</w:t>
            </w:r>
          </w:p>
        </w:tc>
        <w:tc>
          <w:tcPr>
            <w:tcW w:w="85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Indeks</w:t>
              <w:br/>
              <w:t>3 / 2</w:t>
            </w:r>
          </w:p>
        </w:tc>
      </w:tr>
      <w:tr>
        <w:trPr>
          <w:trHeight w:val="330" w:hRule="atLeast"/>
        </w:trPr>
        <w:tc>
          <w:tcPr>
            <w:tcW w:w="5396"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w:t>
            </w:r>
          </w:p>
        </w:tc>
        <w:tc>
          <w:tcPr>
            <w:tcW w:w="18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w:t>
            </w:r>
          </w:p>
        </w:tc>
        <w:tc>
          <w:tcPr>
            <w:tcW w:w="183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w:t>
            </w:r>
          </w:p>
        </w:tc>
        <w:tc>
          <w:tcPr>
            <w:tcW w:w="85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w:t>
            </w:r>
          </w:p>
        </w:tc>
      </w:tr>
      <w:tr>
        <w:trPr>
          <w:trHeight w:val="360" w:hRule="atLeast"/>
        </w:trPr>
        <w:tc>
          <w:tcPr>
            <w:tcW w:w="5396"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UKUPNO :</w:t>
            </w:r>
          </w:p>
        </w:tc>
        <w:tc>
          <w:tcPr>
            <w:tcW w:w="18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1.534.313,09</w:t>
            </w:r>
          </w:p>
        </w:tc>
        <w:tc>
          <w:tcPr>
            <w:tcW w:w="183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594.427,06</w:t>
            </w:r>
          </w:p>
        </w:tc>
        <w:tc>
          <w:tcPr>
            <w:tcW w:w="85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38,74</w:t>
            </w:r>
          </w:p>
        </w:tc>
      </w:tr>
      <w:tr>
        <w:trPr>
          <w:trHeight w:val="465" w:hRule="atLeast"/>
        </w:trPr>
        <w:tc>
          <w:tcPr>
            <w:tcW w:w="135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RAZDJEL    001</w:t>
            </w:r>
          </w:p>
        </w:tc>
        <w:tc>
          <w:tcPr>
            <w:tcW w:w="404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OPĆINSKO VIJEĆE I OPĆINSKI NAČELNIK I TIJELA SAMOUPRAVE</w:t>
            </w:r>
          </w:p>
        </w:tc>
        <w:tc>
          <w:tcPr>
            <w:tcW w:w="18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1.534.313,09</w:t>
            </w:r>
          </w:p>
        </w:tc>
        <w:tc>
          <w:tcPr>
            <w:tcW w:w="183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594.427,06</w:t>
            </w:r>
          </w:p>
        </w:tc>
        <w:tc>
          <w:tcPr>
            <w:tcW w:w="85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38,74</w:t>
            </w:r>
          </w:p>
        </w:tc>
      </w:tr>
      <w:tr>
        <w:trPr>
          <w:trHeight w:val="360" w:hRule="atLeast"/>
        </w:trPr>
        <w:tc>
          <w:tcPr>
            <w:tcW w:w="135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GLAVA    00101</w:t>
            </w:r>
          </w:p>
        </w:tc>
        <w:tc>
          <w:tcPr>
            <w:tcW w:w="404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OPĆINSKO VIJEĆE</w:t>
            </w:r>
          </w:p>
        </w:tc>
        <w:tc>
          <w:tcPr>
            <w:tcW w:w="18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15.800,00</w:t>
            </w:r>
          </w:p>
        </w:tc>
        <w:tc>
          <w:tcPr>
            <w:tcW w:w="183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5.262,66</w:t>
            </w:r>
          </w:p>
        </w:tc>
        <w:tc>
          <w:tcPr>
            <w:tcW w:w="85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33,31</w:t>
            </w:r>
          </w:p>
        </w:tc>
      </w:tr>
      <w:tr>
        <w:trPr>
          <w:trHeight w:val="360" w:hRule="atLeast"/>
        </w:trPr>
        <w:tc>
          <w:tcPr>
            <w:tcW w:w="135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GLAVA    00102</w:t>
            </w:r>
          </w:p>
        </w:tc>
        <w:tc>
          <w:tcPr>
            <w:tcW w:w="404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JEDINSTVENI UPRAVNI ODJEL</w:t>
            </w:r>
          </w:p>
        </w:tc>
        <w:tc>
          <w:tcPr>
            <w:tcW w:w="182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1.518.513,09</w:t>
            </w:r>
          </w:p>
        </w:tc>
        <w:tc>
          <w:tcPr>
            <w:tcW w:w="1839"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589.164,40</w:t>
            </w:r>
          </w:p>
        </w:tc>
        <w:tc>
          <w:tcPr>
            <w:tcW w:w="855"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38,80</w:t>
            </w:r>
          </w:p>
        </w:tc>
      </w:tr>
    </w:tbl>
    <w:p>
      <w:pPr>
        <w:pStyle w:val="Normal"/>
        <w:bidi w:val="0"/>
        <w:jc w:val="center"/>
        <w:rPr>
          <w:rFonts w:ascii="Times New Roman" w:hAnsi="Times New Roman"/>
        </w:rPr>
      </w:pPr>
      <w:r>
        <w:rPr>
          <w:rFonts w:ascii="Times New Roman" w:hAnsi="Times New Roman"/>
          <w:b/>
          <w:bCs/>
        </w:rPr>
        <w:t>2.2. IZVJEŠTAJ PO PROGRAMSKOJ KLASIFIKACIJI</w:t>
      </w:r>
    </w:p>
    <w:tbl>
      <w:tblPr>
        <w:tblW w:w="9915" w:type="dxa"/>
        <w:jc w:val="left"/>
        <w:tblInd w:w="0" w:type="dxa"/>
        <w:tblLayout w:type="fixed"/>
        <w:tblCellMar>
          <w:top w:w="0" w:type="dxa"/>
          <w:left w:w="7" w:type="dxa"/>
          <w:bottom w:w="0" w:type="dxa"/>
          <w:right w:w="7" w:type="dxa"/>
        </w:tblCellMar>
      </w:tblPr>
      <w:tblGrid>
        <w:gridCol w:w="28"/>
        <w:gridCol w:w="2071"/>
        <w:gridCol w:w="3691"/>
        <w:gridCol w:w="1666"/>
        <w:gridCol w:w="1678"/>
        <w:gridCol w:w="780"/>
      </w:tblGrid>
      <w:tr>
        <w:trPr>
          <w:trHeight w:val="555" w:hRule="atLeast"/>
        </w:trPr>
        <w:tc>
          <w:tcPr>
            <w:tcW w:w="5790" w:type="dxa"/>
            <w:gridSpan w:val="3"/>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Brojčana oznaka i naziv</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Rebalans za 2026. godinu</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Izvršenje 30.6.2026.</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 xml:space="preserve">Indeks </w:t>
              <w:br/>
              <w:t>3 / 2</w:t>
            </w:r>
          </w:p>
        </w:tc>
      </w:tr>
      <w:tr>
        <w:trPr>
          <w:trHeight w:val="330" w:hRule="atLeast"/>
        </w:trPr>
        <w:tc>
          <w:tcPr>
            <w:tcW w:w="5790" w:type="dxa"/>
            <w:gridSpan w:val="3"/>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w:t>
            </w:r>
          </w:p>
        </w:tc>
      </w:tr>
      <w:tr>
        <w:trPr>
          <w:trHeight w:val="330" w:hRule="atLeast"/>
        </w:trPr>
        <w:tc>
          <w:tcPr>
            <w:tcW w:w="5790" w:type="dxa"/>
            <w:gridSpan w:val="3"/>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UKUPNO :</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1.534.313,09</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594.427,06</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38,74</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RAZDJEL    001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OPĆINSKO VIJEĆE I OPĆINSKI NAČELNIK I TIJELA SAMOUPRAVE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1.534.313,09</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594.427,06</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38,74</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GLAVA    00101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OPĆINSKO VIJEĆE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15.800,00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5.262,66</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33,31</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Izvor financiranja   11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Opći prihodi i primici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15.800,00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5.262,66</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33,31</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PROGRAM    1001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DONOŠENJE AKATA I MJERA IZ DJELOKRUGA PREDSTAVNIČKOG, IZVRŠNOG TIJELA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15.800,00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5.262,66</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33,31</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Aktivnost A100101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REDOVNI RAD OPĆINSKOG VIJEĆA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9.800,00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3.762,66</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38,39</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Izvor financiranja   11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Opći prihodi i primici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9.800,00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3.762,66</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38,39</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Materijalni rashodi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9.800,00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3.762,66</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38,39</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3291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Naknade za rad predstavničkih i izvršnih tijela, povjerenstava i slično</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3.072,54</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3292</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Premije osiguranja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690,12</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15" w:hRule="atLeast"/>
        </w:trPr>
        <w:tc>
          <w:tcPr>
            <w:tcW w:w="2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20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Aktivnost A100102</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POTPORA RADU POLITIČKIH STRANAKA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6.000,00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1.500,00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25,00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Izvor financiranja   11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Opći prihodi i primici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6.000,00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1.500,00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25,00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Rashodi za donacije, kazne, naknade šteta i kapitalne pomoći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6.000,00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1.500,00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25,00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3811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Tekuće donacije u novcu</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1.500,00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15" w:hRule="atLeast"/>
        </w:trPr>
        <w:tc>
          <w:tcPr>
            <w:tcW w:w="2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20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GLAVA    00102</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JEDINSTVENI UPRAVNI ODJEL</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1.518.513,09</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589.164,40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38,80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Izvor financiranja   11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Opći prihodi i primici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589.650,00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265.661,41</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45,05</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Izvor financiranja   43</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Ostali prihodi za posebne namjene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27.290,00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11.710,45</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42,91</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Izvor financiranja   50</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Pomoći iz državnog proračuna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55.000,00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Izvor financiranja   52</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Ostale pomoći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51.450,00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Izvor financiranja   561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Europski socijalni fond plus</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302.000,00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161.134,05</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53,36</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Izvor financiranja   563</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Europski fond za regionalni razvoj</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86.268,00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Izvor financiranja   61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Donacije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406.855,09</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150.658,49</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37,03</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PROGRAM    1002</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DONOŠENJE I PROVEDBA AKATA I MJERA IZ DJELOKRUGA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439.274,09</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153.110,26</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34,86</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Aktivnost A100201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ADMINISTRATIVNO, TEHNIČKO I STRUČNO OSOBLJE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412.344,09</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151.101,91</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36,64</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Izvor financiranja   11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Opći prihodi i primici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353.604,09</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149.891,46</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42,39</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Rashodi za zaposlene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147.030,00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67.854,74</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46,15</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3111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Plaće za redovan rad</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54.188,62</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3121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Ostali rashodi za zaposlene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4.725,00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15" w:hRule="atLeast"/>
        </w:trPr>
        <w:tc>
          <w:tcPr>
            <w:tcW w:w="2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20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3132</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Doprinosi za obvezno zdravstveno osiguranje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8.941,12</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Materijalni rashodi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206.574,09</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82.036,72</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39,71</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3211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Službena putovanja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24,89</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15" w:hRule="atLeast"/>
        </w:trPr>
        <w:tc>
          <w:tcPr>
            <w:tcW w:w="2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20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3212</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Naknade za prijevoz, za rad na terenu i odvojeni život</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789,48</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15" w:hRule="atLeast"/>
        </w:trPr>
        <w:tc>
          <w:tcPr>
            <w:tcW w:w="2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20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3213</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Stručno usavršavanje zaposlenika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3221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Uredski materijal i ostali materijalni rashodi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542,29</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15" w:hRule="atLeast"/>
        </w:trPr>
        <w:tc>
          <w:tcPr>
            <w:tcW w:w="2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20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3223</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Energija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7.844,56</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3225</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Sitni inventar i autogume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312,16</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15" w:hRule="atLeast"/>
        </w:trPr>
        <w:tc>
          <w:tcPr>
            <w:tcW w:w="2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20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3227</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Službena, radna i zaštitna odjeća i obuća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3231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Usluge telefona, interneta, pošte i prijevoza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1.705,56</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15" w:hRule="atLeast"/>
        </w:trPr>
        <w:tc>
          <w:tcPr>
            <w:tcW w:w="2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20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3232</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Usluge tekućeg i investicijskog održavanja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5.794,67</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25"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3233</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Usluge promidžbe i informiranja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138,76</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3234</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Komunalne usluge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12.200,86</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15" w:hRule="atLeast"/>
        </w:trPr>
        <w:tc>
          <w:tcPr>
            <w:tcW w:w="2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20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3235</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Zakupnine i najamnine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1.263,09</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3236</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Zdravstvene i veterinarske usluge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1.248,65</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15" w:hRule="atLeast"/>
        </w:trPr>
        <w:tc>
          <w:tcPr>
            <w:tcW w:w="2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20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3237</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Intelektualne i osobne usluge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26.540,89</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3238</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Računalne usluge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4.447,20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15" w:hRule="atLeast"/>
        </w:trPr>
        <w:tc>
          <w:tcPr>
            <w:tcW w:w="2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20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3239</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Ostale usluge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3.286,00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3292</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Premije osiguranja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1.531,97</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15" w:hRule="atLeast"/>
        </w:trPr>
        <w:tc>
          <w:tcPr>
            <w:tcW w:w="2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20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3293</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Reprezentacija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3.872,62</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25"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3295</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Pristojbe i naknade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2.488,97</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3299</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Ostali nespomenuti rashodi poslovanja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8.004,10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15" w:hRule="atLeast"/>
        </w:trPr>
        <w:tc>
          <w:tcPr>
            <w:tcW w:w="2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20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Izvor financiranja   43</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Ostali prihodi za posebne namjene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7.290,00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1.210,45</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16,60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Materijalni rashodi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7.290,00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1.210,45</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16,60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3232</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Usluge tekućeg i investicijskog održavanja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1.210,45</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Izvor financiranja   50</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Pomoći iz državnog proračuna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30.000,00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Materijalni rashodi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30.000,00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3232</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Usluge tekućeg i investicijskog održavanja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15" w:hRule="atLeast"/>
        </w:trPr>
        <w:tc>
          <w:tcPr>
            <w:tcW w:w="2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20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Izvor financiranja   52</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Ostale pomoći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21.450,00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Rashodi za zaposlene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20.970,00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3111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Plaće za redovan rad</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3132</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Doprinosi za obvezno zdravstveno osiguranje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15" w:hRule="atLeast"/>
        </w:trPr>
        <w:tc>
          <w:tcPr>
            <w:tcW w:w="2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20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Materijalni rashodi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480,00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3212</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Naknade za prijevoz, za rad na terenu i odvojeni život</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15" w:hRule="atLeast"/>
        </w:trPr>
        <w:tc>
          <w:tcPr>
            <w:tcW w:w="2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20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Aktivnost A100202</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BANKARSKE USLUGE I USLUGE PLATNOG PROMETA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4.930,00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2.008,35</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40,74</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Izvor financiranja   11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Opći prihodi i primici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4.930,00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2.008,35</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40,74</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34</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Financijski rashodi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4.930,00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2.008,35</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40,74</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3431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Bankarske usluge i usluge platnog prometa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1.918,16</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3434</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Ostali nespomenuti financijski rashodi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90,19</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15" w:hRule="atLeast"/>
        </w:trPr>
        <w:tc>
          <w:tcPr>
            <w:tcW w:w="2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20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Kapitalni projekt K100201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NABAVA DUGOTRAJNE IMOVINE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22.000,00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Izvor financiranja   11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Opći prihodi i primici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7.000,00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42</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Rashodi za nabavu proizvedene dugotrajne imovine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7.000,00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4221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Uredska oprema i namještaj</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4223</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Oprema za održavanje i zaštitu</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15" w:hRule="atLeast"/>
        </w:trPr>
        <w:tc>
          <w:tcPr>
            <w:tcW w:w="2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20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Izvor financiranja   50</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Pomoći iz državnog proračuna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15.000,00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42</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Rashodi za nabavu proizvedene dugotrajne imovine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15.000,00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4227</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Uređaji, strojevi i oprema za ostale namjene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PROGRAM    1003</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PROTUPOŽARNA I CIVILNA ZAŠTITA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9.971,00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Aktivnost A100301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PROTUPOŽARNA ZAŠTITA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8.641,00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Izvor financiranja   11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Opći prihodi i primici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8.641,00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Rashodi za donacije, kazne, naknade šteta i kapitalne pomoći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8.641,00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3811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Tekuće donacije u novcu</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15" w:hRule="atLeast"/>
        </w:trPr>
        <w:tc>
          <w:tcPr>
            <w:tcW w:w="2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20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Aktivnost A100302</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CIVILNA ZAŠTITA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1.330,00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Izvor financiranja   11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Opći prihodi i primici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1.330,00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Rashodi za donacije, kazne, naknade šteta i kapitalne pomoći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1.330,00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3811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Tekuće donacije u novcu</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15" w:hRule="atLeast"/>
        </w:trPr>
        <w:tc>
          <w:tcPr>
            <w:tcW w:w="2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20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PROGRAM    1004</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JAVNE POTREBE U OBRAZOVANJU OPĆINE NEGOSLAVCI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38.050,00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33.358,56</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87,67</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Aktivnost A100401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PREDŠKOLA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15.550,00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18.897,50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121,53</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Izvor financiranja   11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Opći prihodi i primici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15.550,00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18.897,50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121,53</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36</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Pomoći dane u inozemstvo i unutar općeg proračuna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10.000,00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18.711,10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187,11</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3661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Tekuće pomoći proračunskim korisnicima drugih proračuna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18.711,10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37</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Naknade građanima i kućanstvima na temelju osiguranja i druge naknade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5.550,00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186,40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3,36</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3722</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Naknade građanima i kućanstvima u naravi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186,40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15" w:hRule="atLeast"/>
        </w:trPr>
        <w:tc>
          <w:tcPr>
            <w:tcW w:w="2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20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Aktivnost A100402</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SUFINAN.JAVNOG PRIJEVOZA SREDNJEŠK.UČENIKA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5.000,00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10.091,08</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201,82</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Izvor financiranja   11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Opći prihodi i primici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5.000,00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10.091,08</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201,82</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37</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Naknade građanima i kućanstvima na temelju osiguranja i druge naknade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5.000,00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10.091,08</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201,82</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3721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Naknade građanima i kućanstvima u novcu</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7.848,94</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3722</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Naknade građanima i kućanstvima u naravi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2.242,14</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15" w:hRule="atLeast"/>
        </w:trPr>
        <w:tc>
          <w:tcPr>
            <w:tcW w:w="2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20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Aktivnost A100403</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OSNOVNO ŠKOLSTVO</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17.500,00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4.369,98</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24,97</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Izvor financiranja   11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Opći prihodi i primici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17.500,00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4.369,98</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24,97</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36</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Pomoći dane u inozemstvo i unutar općeg proračuna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502,48</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3661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Tekuće pomoći proračunskim korisnicima drugih proračuna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502,48</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15" w:hRule="atLeast"/>
        </w:trPr>
        <w:tc>
          <w:tcPr>
            <w:tcW w:w="2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20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37</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Naknade građanima i kućanstvima na temelju osiguranja i druge naknade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17.500,00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3.867,50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22,10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3722</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Naknade građanima i kućanstvima u naravi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3.867,50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PROGRAM    1005</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ODRŽAVANJE OBJEKATA I UREĐAJA KOM. INFRASTRUKTURE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432.700,00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150.658,49</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34,82</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Kapitalni projekt K100501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ODRŽAVANJE KOMUNALNE INFRASTRUKTURE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432.700,00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150.658,49</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34,82</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Izvor financiranja   11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Opći prihodi i primici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2.000,00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Materijalni rashodi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2.000,00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3232</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Usluge tekućeg i investicijskog održavanja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15" w:hRule="atLeast"/>
        </w:trPr>
        <w:tc>
          <w:tcPr>
            <w:tcW w:w="2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20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Izvor financiranja   43</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Ostali prihodi za posebne namjene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5.000,00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Materijalni rashodi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5.000,00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3232</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Usluge tekućeg i investicijskog održavanja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Izvor financiranja   50</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Pomoći iz državnog proračuna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10.000,00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45</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Rashodi za dodatna ulaganja na nefinancijskoj imovini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10.000,00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4511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Dodatna ulaganja na građevinskim objektima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15" w:hRule="atLeast"/>
        </w:trPr>
        <w:tc>
          <w:tcPr>
            <w:tcW w:w="2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20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Izvor financiranja   52</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Ostale pomoći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30.000,00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45</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Rashodi za dodatna ulaganja na nefinancijskoj imovini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30.000,00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4511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Dodatna ulaganja na građevinskim objektima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15" w:hRule="atLeast"/>
        </w:trPr>
        <w:tc>
          <w:tcPr>
            <w:tcW w:w="2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20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Izvor financiranja   561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Europski socijalni fond plus</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26.544,91</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45</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Rashodi za dodatna ulaganja na nefinancijskoj imovini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26.544,91</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4511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Dodatna ulaganja na građevinskim objektima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Izvor financiranja   61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Donacije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359.155,09</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150.658,49</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41,95</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45</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Rashodi za dodatna ulaganja na nefinancijskoj imovini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359.155,09</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150.658,49</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41,95</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4511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Dodatna ulaganja na građevinskim objektima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150.658,49</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15" w:hRule="atLeast"/>
        </w:trPr>
        <w:tc>
          <w:tcPr>
            <w:tcW w:w="2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20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PROGRAM    1006</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IZGRADNJA OBJEKATA KOMUNALNE INFRASTRUKTURE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133.968,00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Kapitalni projekt K100601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IZGRADNJA TRIBINA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133.968,00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Izvor financiranja   563</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Europski fond za regionalni razvoj</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86.268,00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42</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Rashodi za nabavu proizvedene dugotrajne imovine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86.268,00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4212</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Poslovni objekti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Izvor financiranja   61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Donacije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47.700,00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42</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Rashodi za nabavu proizvedene dugotrajne imovine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47.700,00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4212</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Poslovni objekti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15" w:hRule="atLeast"/>
        </w:trPr>
        <w:tc>
          <w:tcPr>
            <w:tcW w:w="2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20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PROGRAM    1007</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PROGRAM JAVNIH POTREBA U SO. SKRBI OPĆINE NEG.</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38.300,00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6.278,04</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16,39</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Aktivnost A100701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POMOĆ U NOVCU POJEDINCIMA I OBITELJIMA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37.000,00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6.278,04</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16,97</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Izvor financiranja   11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Opći prihodi i primici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21.544,91</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6.278,04</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29,14</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37</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Naknade građanima i kućanstvima na temelju osiguranja i druge naknade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21.544,91</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6.278,04</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29,14</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3721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Naknade građanima i kućanstvima u novcu</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1.200,00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15" w:hRule="atLeast"/>
        </w:trPr>
        <w:tc>
          <w:tcPr>
            <w:tcW w:w="2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20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3722</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Naknade građanima i kućanstvima u naravi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5.078,04</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Izvor financiranja   561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Europski socijalni fond plus</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15.455,09</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37</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Naknade građanima i kućanstvima na temelju osiguranja i druge naknade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15.455,09</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3721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Naknade građanima i kućanstvima u novcu</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15" w:hRule="atLeast"/>
        </w:trPr>
        <w:tc>
          <w:tcPr>
            <w:tcW w:w="2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20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Aktivnost A100703</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CRVENI KRIŽ</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1.300,00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Izvor financiranja   11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Opći prihodi i primici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1.300,00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Rashodi za donacije, kazne, naknade šteta i kapitalne pomoći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1.300,00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3811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Tekuće donacije u novcu</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PROGRAM    1008</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PROGRAM JAVNIH POTREBA U KULTURI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51.750,00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11.975,00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23,14</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Aktivnost A100801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VJERSKE ZAJEDNICE - POMOĆ U RADU</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4.700,00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400,00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8,51</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Izvor financiranja   11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Opći prihodi i primici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4.700,00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400,00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8,51</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Rashodi za donacije, kazne, naknade šteta i kapitalne pomoći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4.700,00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400,00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8,51</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3811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Tekuće donacije u novcu</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400,00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15" w:hRule="atLeast"/>
        </w:trPr>
        <w:tc>
          <w:tcPr>
            <w:tcW w:w="2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20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3821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Kapitalne donacije neprofitnim organizacijama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Aktivnost A100803</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KULTURNE MANIFESTACIJE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9.500,00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4.375,00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46,05</w:t>
            </w:r>
          </w:p>
        </w:tc>
      </w:tr>
      <w:tr>
        <w:trPr>
          <w:trHeight w:val="525"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Izvor financiranja   11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Opći prihodi i primici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9.500,00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4.375,00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46,05</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Rashodi za donacije, kazne, naknade šteta i kapitalne pomoći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9.500,00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4.375,00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46,05</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3811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Tekuće donacije u novcu</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4.375,00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Aktivnost A100805</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UDRUGE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37.550,00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7.200,00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19,17</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Izvor financiranja   11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Opći prihodi i primici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37.550,00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7.200,00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19,17</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36</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Pomoći dane u inozemstvo i unutar općeg proračuna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1.050,00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3631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Tekuće pomoći drugom proračunu i izvanproračunskim korisnicima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15" w:hRule="atLeast"/>
        </w:trPr>
        <w:tc>
          <w:tcPr>
            <w:tcW w:w="2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20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Rashodi za donacije, kazne, naknade šteta i kapitalne pomoći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36.500,00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7.200,00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19,73</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3811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Tekuće donacije u novcu</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7.200,00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PROGRAM    1009</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JAVNE POTREBE U ŠPORTU</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69.500,00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45.450,00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65,40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Aktivnost A100901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TEKUĆE DONACIJE SPORTSKIM UDRUGAMA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69.500,00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45.450,00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65,40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Izvor financiranja   11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Opći prihodi i primici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69.500,00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45.450,00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65,40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Rashodi za donacije, kazne, naknade šteta i kapitalne pomoći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69.500,00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45.450,00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65,40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3811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Tekuće donacije u novcu</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45.450,00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15" w:hRule="atLeast"/>
        </w:trPr>
        <w:tc>
          <w:tcPr>
            <w:tcW w:w="2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20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PROGRAM    1010</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DEMOGRAFSKE MJERE OPĆINE NEGOSLAVCI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45.000,00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27.200,00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60,44</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Aktivnost A101001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DEMOGRAFSKE MJERE OPĆINE NEGOSLAVCI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45.000,00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27.200,00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60,44</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Izvor financiranja   11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Opći prihodi i primici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30.000,00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16.700,00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55,67</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37</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Naknade građanima i kućanstvima na temelju osiguranja i druge naknade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30.000,00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16.700,00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55,67</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3721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Naknade građanima i kućanstvima u novcu</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16.700,00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25"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Izvor financiranja   43</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Ostali prihodi za posebne namjene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15.000,00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10.500,00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70,00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Rashodi za donacije, kazne, naknade šteta i kapitalne pomoći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15.000,00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10.500,00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70,00</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3863</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Kapitalne pomoći poljoprivrednicima i obrtnicima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10.500,00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PROGRAM    1011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PROGRAM "ZAŽELI"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260.000,00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161.134,05</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61,97</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Aktivnost A101101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ADMINISTRATIVNO, TEHNIČKO I STRUČNO OSOBLJE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260.000,00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161.134,05</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b/>
                <w:bCs/>
              </w:rPr>
              <w:t>61,97</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Izvor financiranja   561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Europski socijalni fond plus</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260.000,00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161.134,05</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61,97</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Rashodi za zaposlene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205.000,00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155.952,72</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76,07</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3111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Plaće za redovan rad</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132.834,94</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15" w:hRule="atLeast"/>
        </w:trPr>
        <w:tc>
          <w:tcPr>
            <w:tcW w:w="2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20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3121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Ostali rashodi za zaposlene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1.200,00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3132</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Doprinosi za obvezno zdravstveno osiguranje</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21.917,78</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15" w:hRule="atLeast"/>
        </w:trPr>
        <w:tc>
          <w:tcPr>
            <w:tcW w:w="2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20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Materijalni rashodi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55.000,00</w:t>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5.181,33</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9,42</w:t>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3221</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Uredski materijal i ostali materijalni rashodi</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5.181,33</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3233</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Usluge promidžbe i informiranja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r>
        <w:trPr>
          <w:trHeight w:val="15" w:hRule="atLeast"/>
        </w:trPr>
        <w:tc>
          <w:tcPr>
            <w:tcW w:w="2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207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rPr>
                <w:rFonts w:ascii="Times New Roman" w:hAnsi="Times New Roman"/>
                <w:sz w:val="4"/>
                <w:szCs w:val="4"/>
              </w:rPr>
            </w:pPr>
            <w:r>
              <w:rPr>
                <w:rFonts w:ascii="Times New Roman" w:hAnsi="Times New Roman"/>
                <w:sz w:val="4"/>
                <w:szCs w:val="4"/>
              </w:rPr>
            </w:r>
          </w:p>
        </w:tc>
      </w:tr>
      <w:tr>
        <w:trPr>
          <w:trHeight w:val="510" w:hRule="atLeast"/>
        </w:trPr>
        <w:tc>
          <w:tcPr>
            <w:tcW w:w="2099" w:type="dxa"/>
            <w:gridSpan w:val="2"/>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3293</w:t>
            </w:r>
          </w:p>
        </w:tc>
        <w:tc>
          <w:tcPr>
            <w:tcW w:w="3691"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Reprezentacija</w:t>
            </w:r>
          </w:p>
        </w:tc>
        <w:tc>
          <w:tcPr>
            <w:tcW w:w="1666"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c>
          <w:tcPr>
            <w:tcW w:w="1678"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t>0,00</w:t>
            </w:r>
          </w:p>
        </w:tc>
        <w:tc>
          <w:tcPr>
            <w:tcW w:w="780" w:type="dxa"/>
            <w:tcBorders>
              <w:top w:val="single" w:sz="6" w:space="0" w:color="000000"/>
              <w:left w:val="single" w:sz="6" w:space="0" w:color="000000"/>
              <w:bottom w:val="single" w:sz="6" w:space="0" w:color="000000"/>
              <w:right w:val="single" w:sz="6" w:space="0" w:color="000000"/>
            </w:tcBorders>
            <w:vAlign w:val="center"/>
          </w:tcPr>
          <w:p>
            <w:pPr>
              <w:pStyle w:val="Sadrajitablice"/>
              <w:widowControl w:val="false"/>
              <w:bidi w:val="0"/>
              <w:rPr>
                <w:rFonts w:ascii="Times New Roman" w:hAnsi="Times New Roman"/>
              </w:rPr>
            </w:pPr>
            <w:r>
              <w:rPr>
                <w:rFonts w:ascii="Times New Roman" w:hAnsi="Times New Roman"/>
              </w:rPr>
            </w:r>
          </w:p>
        </w:tc>
      </w:tr>
    </w:tbl>
    <w:p>
      <w:pPr>
        <w:pStyle w:val="Normal"/>
        <w:bidi w:val="0"/>
        <w:jc w:val="center"/>
        <w:rPr>
          <w:rFonts w:ascii="Times New Roman" w:hAnsi="Times New Roman"/>
          <w:b/>
          <w:b/>
          <w:bCs/>
        </w:rPr>
      </w:pPr>
      <w:r>
        <w:rPr>
          <w:rFonts w:ascii="Times New Roman" w:hAnsi="Times New Roman"/>
          <w:b/>
          <w:bCs/>
        </w:rPr>
      </w:r>
    </w:p>
    <w:p>
      <w:pPr>
        <w:pStyle w:val="ListParagraph"/>
        <w:ind w:left="720" w:hanging="0"/>
        <w:jc w:val="center"/>
        <w:rPr>
          <w:rFonts w:ascii="Times New Roman" w:hAnsi="Times New Roman"/>
        </w:rPr>
      </w:pPr>
      <w:r>
        <w:rPr>
          <w:rFonts w:ascii="Times New Roman" w:hAnsi="Times New Roman"/>
          <w:b/>
          <w:bCs/>
        </w:rPr>
        <w:t>PREDSJEDNIK OPĆINSKOG VIJEĆA</w:t>
      </w:r>
    </w:p>
    <w:p>
      <w:pPr>
        <w:pStyle w:val="ListParagraph"/>
        <w:ind w:left="720" w:hanging="0"/>
        <w:jc w:val="center"/>
        <w:rPr>
          <w:rFonts w:ascii="Times New Roman" w:hAnsi="Times New Roman"/>
        </w:rPr>
      </w:pPr>
      <w:r>
        <w:rPr>
          <w:rFonts w:ascii="Times New Roman" w:hAnsi="Times New Roman"/>
        </w:rPr>
        <w:t>Miodrag Mišanović</w:t>
      </w:r>
    </w:p>
    <w:p>
      <w:pPr>
        <w:pStyle w:val="Normal"/>
        <w:bidi w:val="0"/>
        <w:jc w:val="center"/>
        <w:rPr>
          <w:rFonts w:ascii="Times New Roman" w:hAnsi="Times New Roman"/>
        </w:rPr>
      </w:pPr>
      <w:r>
        <w:rPr>
          <w:rFonts w:ascii="Times New Roman" w:hAnsi="Times New Roman"/>
        </w:rPr>
        <w:drawing>
          <wp:inline distT="0" distB="0" distL="0" distR="0">
            <wp:extent cx="5761355" cy="36830"/>
            <wp:effectExtent l="0" t="0" r="0" b="0"/>
            <wp:docPr id="3" name="Slika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6" descr=""/>
                    <pic:cNvPicPr>
                      <a:picLocks noChangeAspect="1" noChangeArrowheads="1"/>
                    </pic:cNvPicPr>
                  </pic:nvPicPr>
                  <pic:blipFill>
                    <a:blip r:embed="rId5"/>
                    <a:stretch>
                      <a:fillRect/>
                    </a:stretch>
                  </pic:blipFill>
                  <pic:spPr bwMode="auto">
                    <a:xfrm>
                      <a:off x="0" y="0"/>
                      <a:ext cx="5761355" cy="36830"/>
                    </a:xfrm>
                    <a:prstGeom prst="rect">
                      <a:avLst/>
                    </a:prstGeom>
                  </pic:spPr>
                </pic:pic>
              </a:graphicData>
            </a:graphic>
          </wp:inline>
        </w:drawing>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jc w:val="center"/>
        <w:rPr>
          <w:rFonts w:ascii="Times New Roman" w:hAnsi="Times New Roman"/>
        </w:rPr>
      </w:pPr>
      <w:r>
        <w:rPr>
          <w:rFonts w:ascii="Times New Roman" w:hAnsi="Times New Roman"/>
          <w:b/>
          <w:bCs/>
        </w:rPr>
        <w:t>Obrazloženje Polugodišnjeg izvještaja o izvršenju proračuna Općine Negoslavci za 2026. godinu</w:t>
      </w:r>
    </w:p>
    <w:p>
      <w:pPr>
        <w:pStyle w:val="Normal"/>
        <w:jc w:val="center"/>
        <w:rPr>
          <w:rFonts w:ascii="Times New Roman" w:hAnsi="Times New Roman"/>
          <w:b/>
          <w:b/>
          <w:bCs/>
        </w:rPr>
      </w:pPr>
      <w:r>
        <w:rPr>
          <w:rFonts w:ascii="Times New Roman" w:hAnsi="Times New Roman"/>
          <w:b/>
          <w:bCs/>
        </w:rPr>
      </w:r>
    </w:p>
    <w:p>
      <w:pPr>
        <w:pStyle w:val="Normal"/>
        <w:jc w:val="left"/>
        <w:rPr>
          <w:rFonts w:ascii="Times New Roman" w:hAnsi="Times New Roman"/>
        </w:rPr>
      </w:pPr>
      <w:r>
        <w:rPr>
          <w:rFonts w:ascii="Times New Roman" w:hAnsi="Times New Roman"/>
          <w:b w:val="false"/>
          <w:bCs w:val="false"/>
        </w:rPr>
        <w:tab/>
        <w:t xml:space="preserve">Polugodišnji izvještaj o izvršenju proračuna sadrži: opći dio, posebni dio, obrazloženje i posebne izvještaje.  </w:t>
      </w:r>
    </w:p>
    <w:p>
      <w:pPr>
        <w:pStyle w:val="ListParagraph"/>
        <w:numPr>
          <w:ilvl w:val="0"/>
          <w:numId w:val="1"/>
        </w:numPr>
        <w:jc w:val="center"/>
        <w:rPr>
          <w:rFonts w:ascii="Times New Roman" w:hAnsi="Times New Roman"/>
        </w:rPr>
      </w:pPr>
      <w:r>
        <w:rPr>
          <w:rFonts w:ascii="Times New Roman" w:hAnsi="Times New Roman"/>
          <w:b/>
          <w:bCs/>
        </w:rPr>
        <w:t>Opći dio</w:t>
      </w:r>
    </w:p>
    <w:p>
      <w:pPr>
        <w:pStyle w:val="ListParagraph"/>
        <w:rPr>
          <w:rFonts w:ascii="Times New Roman" w:hAnsi="Times New Roman"/>
        </w:rPr>
      </w:pPr>
      <w:r>
        <w:rPr>
          <w:rFonts w:ascii="Times New Roman" w:hAnsi="Times New Roman"/>
        </w:rPr>
        <w:t>Opći dio polugodišnjeg izvještaja o izvršenju proračuna od I – VI 2026. godine sadrži tablice koje su sastavni dio ovog izvještaja a to su:</w:t>
      </w:r>
    </w:p>
    <w:p>
      <w:pPr>
        <w:pStyle w:val="ListParagraph"/>
        <w:numPr>
          <w:ilvl w:val="0"/>
          <w:numId w:val="2"/>
        </w:numPr>
        <w:rPr>
          <w:rFonts w:ascii="Times New Roman" w:hAnsi="Times New Roman"/>
        </w:rPr>
      </w:pPr>
      <w:r>
        <w:rPr>
          <w:rFonts w:ascii="Times New Roman" w:hAnsi="Times New Roman"/>
        </w:rPr>
        <w:t xml:space="preserve">       </w:t>
      </w:r>
      <w:r>
        <w:rPr>
          <w:rFonts w:ascii="Times New Roman" w:hAnsi="Times New Roman"/>
        </w:rPr>
        <w:t>Sažetak Računa prihoda i rashoda i Računa financiranja</w:t>
      </w:r>
    </w:p>
    <w:p>
      <w:pPr>
        <w:pStyle w:val="ListParagraph"/>
        <w:numPr>
          <w:ilvl w:val="1"/>
          <w:numId w:val="2"/>
        </w:numPr>
        <w:rPr>
          <w:rFonts w:ascii="Times New Roman" w:hAnsi="Times New Roman"/>
        </w:rPr>
      </w:pPr>
      <w:r>
        <w:rPr>
          <w:rFonts w:ascii="Times New Roman" w:hAnsi="Times New Roman"/>
        </w:rPr>
        <w:t>Račun prihoda i rashoda</w:t>
      </w:r>
    </w:p>
    <w:p>
      <w:pPr>
        <w:pStyle w:val="ListParagraph"/>
        <w:numPr>
          <w:ilvl w:val="1"/>
          <w:numId w:val="2"/>
        </w:numPr>
        <w:rPr>
          <w:rFonts w:ascii="Times New Roman" w:hAnsi="Times New Roman"/>
        </w:rPr>
      </w:pPr>
      <w:r>
        <w:rPr>
          <w:rFonts w:ascii="Times New Roman" w:hAnsi="Times New Roman"/>
        </w:rPr>
        <w:t>Račun financiranja</w:t>
      </w:r>
    </w:p>
    <w:p>
      <w:pPr>
        <w:pStyle w:val="ListParagraph"/>
        <w:numPr>
          <w:ilvl w:val="0"/>
          <w:numId w:val="2"/>
        </w:numPr>
        <w:jc w:val="center"/>
        <w:rPr>
          <w:rFonts w:ascii="Times New Roman" w:hAnsi="Times New Roman"/>
        </w:rPr>
      </w:pPr>
      <w:r>
        <w:rPr>
          <w:rFonts w:ascii="Times New Roman" w:hAnsi="Times New Roman"/>
          <w:b/>
          <w:bCs/>
        </w:rPr>
        <w:t>Posebni dio</w:t>
      </w:r>
    </w:p>
    <w:p>
      <w:pPr>
        <w:pStyle w:val="ListParagraph"/>
        <w:ind w:left="1080" w:hanging="0"/>
        <w:rPr>
          <w:rFonts w:ascii="Times New Roman" w:hAnsi="Times New Roman"/>
        </w:rPr>
      </w:pPr>
      <w:r>
        <w:rPr>
          <w:rFonts w:ascii="Times New Roman" w:hAnsi="Times New Roman"/>
        </w:rPr>
        <w:t>Posebni dio polugodišnjeg izvršenja proračuna za 2026. godinu iskazan je u tablici:</w:t>
      </w:r>
    </w:p>
    <w:p>
      <w:pPr>
        <w:pStyle w:val="ListParagraph"/>
        <w:ind w:left="1080" w:hanging="0"/>
        <w:rPr>
          <w:rFonts w:ascii="Times New Roman" w:hAnsi="Times New Roman"/>
        </w:rPr>
      </w:pPr>
      <w:r>
        <w:rPr>
          <w:rFonts w:ascii="Times New Roman" w:hAnsi="Times New Roman"/>
        </w:rPr>
      </w:r>
    </w:p>
    <w:p>
      <w:pPr>
        <w:pStyle w:val="ListParagraph"/>
        <w:ind w:left="1080" w:hanging="0"/>
        <w:rPr>
          <w:rFonts w:ascii="Times New Roman" w:hAnsi="Times New Roman"/>
        </w:rPr>
      </w:pPr>
      <w:r>
        <w:rPr>
          <w:rFonts w:ascii="Times New Roman" w:hAnsi="Times New Roman"/>
        </w:rPr>
        <w:t>2.2. Izvještaj po programskoj klasifikaciji</w:t>
      </w:r>
    </w:p>
    <w:p>
      <w:pPr>
        <w:pStyle w:val="ListParagraph"/>
        <w:ind w:left="1080" w:hanging="0"/>
        <w:rPr>
          <w:rFonts w:ascii="Times New Roman" w:hAnsi="Times New Roman"/>
        </w:rPr>
      </w:pPr>
      <w:r>
        <w:rPr>
          <w:rFonts w:ascii="Times New Roman" w:hAnsi="Times New Roman"/>
        </w:rPr>
      </w:r>
    </w:p>
    <w:p>
      <w:pPr>
        <w:pStyle w:val="ListParagraph"/>
        <w:numPr>
          <w:ilvl w:val="0"/>
          <w:numId w:val="2"/>
        </w:numPr>
        <w:jc w:val="center"/>
        <w:rPr>
          <w:rFonts w:ascii="Times New Roman" w:hAnsi="Times New Roman"/>
        </w:rPr>
      </w:pPr>
      <w:r>
        <w:rPr>
          <w:rFonts w:ascii="Times New Roman" w:hAnsi="Times New Roman"/>
          <w:b/>
          <w:bCs/>
        </w:rPr>
        <w:t>Obrazloženje polugodišnjeg izvještaja o izvršenju proračuna za 2026. godinu</w:t>
      </w:r>
    </w:p>
    <w:p>
      <w:pPr>
        <w:pStyle w:val="Normal"/>
        <w:ind w:left="720" w:hanging="0"/>
        <w:rPr>
          <w:rFonts w:ascii="Times New Roman" w:hAnsi="Times New Roman"/>
        </w:rPr>
      </w:pPr>
      <w:r>
        <w:rPr>
          <w:rFonts w:ascii="Times New Roman" w:hAnsi="Times New Roman"/>
        </w:rPr>
        <w:t xml:space="preserve">Obrazloženje polugodišnjeg izvještaja za 2026. godinu sastoji se od </w:t>
      </w:r>
    </w:p>
    <w:p>
      <w:pPr>
        <w:pStyle w:val="Normal"/>
        <w:ind w:left="720" w:hanging="0"/>
        <w:rPr>
          <w:rFonts w:ascii="Times New Roman" w:hAnsi="Times New Roman"/>
        </w:rPr>
      </w:pPr>
      <w:r>
        <w:rPr>
          <w:rFonts w:ascii="Times New Roman" w:hAnsi="Times New Roman"/>
        </w:rPr>
        <w:t>3.1. Obrazloženja općeg dijela</w:t>
      </w:r>
    </w:p>
    <w:p>
      <w:pPr>
        <w:pStyle w:val="Normal"/>
        <w:ind w:left="720" w:hanging="0"/>
        <w:rPr>
          <w:rFonts w:ascii="Times New Roman" w:hAnsi="Times New Roman"/>
        </w:rPr>
      </w:pPr>
      <w:r>
        <w:rPr>
          <w:rFonts w:ascii="Times New Roman" w:hAnsi="Times New Roman"/>
        </w:rPr>
        <w:t>- obrazloženja ostvarenja prihoda i rashoda, primitaka i izdataka</w:t>
      </w:r>
    </w:p>
    <w:p>
      <w:pPr>
        <w:pStyle w:val="Normal"/>
        <w:ind w:left="720" w:hanging="0"/>
        <w:rPr>
          <w:rFonts w:ascii="Times New Roman" w:hAnsi="Times New Roman"/>
        </w:rPr>
      </w:pPr>
      <w:r>
        <w:rPr>
          <w:rFonts w:ascii="Times New Roman" w:hAnsi="Times New Roman"/>
        </w:rPr>
        <w:t>- obrazloženja ostvarenog prijenosa sredstava iz prethodnih godina i prijenosa sredstava u sljedeće obračunsko razdoblje.</w:t>
      </w:r>
    </w:p>
    <w:p>
      <w:pPr>
        <w:pStyle w:val="Normal"/>
        <w:ind w:left="720" w:hanging="0"/>
        <w:jc w:val="both"/>
        <w:rPr>
          <w:rFonts w:ascii="Times New Roman" w:hAnsi="Times New Roman"/>
        </w:rPr>
      </w:pPr>
      <w:r>
        <w:rPr>
          <w:rFonts w:ascii="Times New Roman" w:hAnsi="Times New Roman"/>
        </w:rPr>
        <w:t>Ukupno ostvareni prihodi iznose 603.555,56 €, ukupni rashodi 594.427,06€, te je rezultat višak prihoda nad rashodima u iznosu 9.128,50 €. Preneseni višak prihoda iz prethodne godine koji je i raspoređen prvim izmjenama i dopunama proračuna za 2026. godinu iznosi 223.855,09 €. Višak prihoda koji se prenosi u slijedeće razdoblje iznosi 232.983,59 € a odnosi se na sredstva dobiven za kapitalna ulaganja Zajedničkog veća općina.</w:t>
      </w:r>
    </w:p>
    <w:p>
      <w:pPr>
        <w:pStyle w:val="Normal"/>
        <w:ind w:left="720" w:hanging="0"/>
        <w:jc w:val="both"/>
        <w:rPr>
          <w:rFonts w:ascii="Times New Roman" w:hAnsi="Times New Roman"/>
        </w:rPr>
      </w:pPr>
      <w:r>
        <w:rPr>
          <w:rFonts w:ascii="Times New Roman" w:hAnsi="Times New Roman"/>
        </w:rPr>
        <w:t>U razdoblju od 01. 01. do 30.06.2026. godine ostvareni su prihodi u iznosu 603.555,56 € što je 4,22% manje nego prošle godine. Glavno smanjenje odnosi se na smanjenje prihoda od poreza i to čak za 55,34% što upućuje na povećani broj osoba koje imaju povrat porezna na dohodak po godišnjoj prijavi s jedne strane, te smanjenje broja zaposlenih na području općine Negoslavci s druge strane.</w:t>
      </w:r>
    </w:p>
    <w:p>
      <w:pPr>
        <w:pStyle w:val="Normal"/>
        <w:ind w:left="720" w:hanging="0"/>
        <w:jc w:val="both"/>
        <w:rPr>
          <w:rFonts w:ascii="Times New Roman" w:hAnsi="Times New Roman"/>
        </w:rPr>
      </w:pPr>
      <w:r>
        <w:rPr>
          <w:rFonts w:ascii="Times New Roman" w:hAnsi="Times New Roman"/>
        </w:rPr>
        <w:t xml:space="preserve">Pomoći iz inozemstva i od subjekata unutar općeg proračuna također su smanjene u odnosu na prošlu godinu  i to za 15,17%. Ovo smanjenje se odnosi na smanjenje pomoći za fiskalno izravnanje koje se smanjilo uslijed smanjenja broja stanovnika po zadnjem popisu stanovništva. </w:t>
      </w:r>
    </w:p>
    <w:p>
      <w:pPr>
        <w:pStyle w:val="Normal"/>
        <w:ind w:left="720" w:hanging="0"/>
        <w:jc w:val="both"/>
        <w:rPr>
          <w:rFonts w:ascii="Times New Roman" w:hAnsi="Times New Roman"/>
        </w:rPr>
      </w:pPr>
      <w:r>
        <w:rPr>
          <w:rFonts w:ascii="Times New Roman" w:hAnsi="Times New Roman"/>
        </w:rPr>
        <w:t>Ukupni rashodi izvršeni su u iznosu 594.427,06 € i manji su nego prijašnje godine i to za 2,63%.</w:t>
      </w:r>
    </w:p>
    <w:p>
      <w:pPr>
        <w:pStyle w:val="Normal"/>
        <w:ind w:left="720" w:hanging="0"/>
        <w:jc w:val="both"/>
        <w:rPr>
          <w:rFonts w:ascii="Times New Roman" w:hAnsi="Times New Roman"/>
        </w:rPr>
      </w:pPr>
      <w:r>
        <w:rPr>
          <w:rFonts w:ascii="Times New Roman" w:hAnsi="Times New Roman"/>
        </w:rPr>
      </w:r>
    </w:p>
    <w:p>
      <w:pPr>
        <w:pStyle w:val="Normal"/>
        <w:jc w:val="center"/>
        <w:rPr>
          <w:rFonts w:ascii="Times New Roman" w:hAnsi="Times New Roman"/>
        </w:rPr>
      </w:pPr>
      <w:r>
        <w:rPr>
          <w:rFonts w:ascii="Times New Roman" w:hAnsi="Times New Roman"/>
          <w:b/>
          <w:bCs/>
        </w:rPr>
        <w:t>Izvještaj o prihodima i rashodima prema izvorima financiranja</w:t>
      </w:r>
    </w:p>
    <w:p>
      <w:pPr>
        <w:pStyle w:val="Normal"/>
        <w:rPr>
          <w:rFonts w:ascii="Times New Roman" w:hAnsi="Times New Roman"/>
        </w:rPr>
      </w:pPr>
      <w:r>
        <w:rPr>
          <w:rFonts w:ascii="Times New Roman" w:hAnsi="Times New Roman"/>
        </w:rPr>
        <w:t xml:space="preserve">Iz izvora 11 Opći prihodi i primici ostvareno je 237.121,25€ ili 48% od planiranog. Planirani prihod iz ovog izvora ostvarit će se na  godišnjem nivou budući se povrat poreza po godišnjoj prijavi vrši u prvoj polovini godine. </w:t>
      </w:r>
    </w:p>
    <w:p>
      <w:pPr>
        <w:pStyle w:val="Normal"/>
        <w:rPr>
          <w:rFonts w:ascii="Times New Roman" w:hAnsi="Times New Roman"/>
        </w:rPr>
      </w:pPr>
      <w:r>
        <w:rPr>
          <w:rFonts w:ascii="Times New Roman" w:hAnsi="Times New Roman"/>
        </w:rPr>
        <w:t>Ostvareni rashodi iz ovog izvora iznose 270.924,07 € ili 45% u odnosu na plan.</w:t>
      </w:r>
    </w:p>
    <w:p>
      <w:pPr>
        <w:pStyle w:val="Normal"/>
        <w:ind w:left="708" w:hanging="0"/>
        <w:jc w:val="both"/>
        <w:rPr>
          <w:rFonts w:ascii="Times New Roman" w:hAnsi="Times New Roman"/>
        </w:rPr>
      </w:pPr>
      <w:r>
        <w:rPr>
          <w:rFonts w:ascii="Times New Roman" w:hAnsi="Times New Roman"/>
        </w:rPr>
        <w:t xml:space="preserve">Iz izvora 52 pomoći EU ostvareno je 160.967,84 ili 33,21% u odnosu na plansku veličinu. Ovo ostvarenje prihoda odnosi se na EU sredstva za projekt Zaželi. </w:t>
      </w:r>
    </w:p>
    <w:p>
      <w:pPr>
        <w:pStyle w:val="ListParagraph"/>
        <w:numPr>
          <w:ilvl w:val="0"/>
          <w:numId w:val="2"/>
        </w:numPr>
        <w:rPr>
          <w:rFonts w:ascii="Times New Roman" w:hAnsi="Times New Roman"/>
        </w:rPr>
      </w:pPr>
      <w:r>
        <w:rPr>
          <w:rFonts w:ascii="Times New Roman" w:hAnsi="Times New Roman"/>
        </w:rPr>
        <w:t>Posebni izvještaji</w:t>
      </w:r>
    </w:p>
    <w:p>
      <w:pPr>
        <w:pStyle w:val="ListParagraph"/>
        <w:ind w:left="1080" w:hanging="0"/>
        <w:rPr>
          <w:rFonts w:ascii="Times New Roman" w:hAnsi="Times New Roman"/>
        </w:rPr>
      </w:pPr>
      <w:r>
        <w:rPr>
          <w:rFonts w:ascii="Times New Roman" w:hAnsi="Times New Roman"/>
        </w:rPr>
        <w:t>Posebni izvještaj u polugodišnjem izvršenju je Izvještaj o zaduživanju na domaćem i stranom tržištu novca i kapitala.</w:t>
      </w:r>
    </w:p>
    <w:p>
      <w:pPr>
        <w:pStyle w:val="ListParagraph"/>
        <w:ind w:left="1080" w:hanging="0"/>
        <w:rPr>
          <w:rFonts w:ascii="Times New Roman" w:hAnsi="Times New Roman"/>
        </w:rPr>
      </w:pPr>
      <w:r>
        <w:rPr>
          <w:rFonts w:ascii="Times New Roman" w:hAnsi="Times New Roman"/>
        </w:rPr>
        <w:t>Općina Negoslavci u navedenom razdoblju nije se zaduživala na domaćem i stranom tržištu novca i kapitala.</w:t>
      </w:r>
    </w:p>
    <w:p>
      <w:pPr>
        <w:pStyle w:val="ListParagraph"/>
        <w:ind w:left="720" w:hanging="0"/>
        <w:rPr>
          <w:rFonts w:ascii="Times New Roman" w:hAnsi="Times New Roman"/>
        </w:rPr>
      </w:pPr>
      <w:r>
        <w:rPr>
          <w:rFonts w:ascii="Times New Roman" w:hAnsi="Times New Roman"/>
        </w:rPr>
      </w:r>
    </w:p>
    <w:p>
      <w:pPr>
        <w:pStyle w:val="Normal"/>
        <w:spacing w:before="0" w:after="0"/>
        <w:rPr>
          <w:rFonts w:ascii="Times New Roman" w:hAnsi="Times New Roman"/>
        </w:rPr>
      </w:pPr>
      <w:r>
        <w:rPr>
          <w:rFonts w:ascii="Times New Roman" w:hAnsi="Times New Roman"/>
          <w:b/>
          <w:bCs/>
        </w:rPr>
        <w:t>KLASA:</w:t>
      </w:r>
      <w:r>
        <w:rPr>
          <w:rFonts w:ascii="Times New Roman" w:hAnsi="Times New Roman"/>
          <w:b/>
          <w:bCs/>
          <w:color w:val="000000"/>
        </w:rPr>
        <w:t xml:space="preserve"> </w:t>
      </w:r>
      <w:r>
        <w:rPr>
          <w:rFonts w:ascii="Times New Roman" w:hAnsi="Times New Roman"/>
          <w:color w:val="000000"/>
        </w:rPr>
        <w:t>400-04/26-01/01</w:t>
      </w:r>
    </w:p>
    <w:p>
      <w:pPr>
        <w:pStyle w:val="Normal"/>
        <w:spacing w:before="0" w:after="0"/>
        <w:rPr>
          <w:rFonts w:ascii="Times New Roman" w:hAnsi="Times New Roman"/>
        </w:rPr>
      </w:pPr>
      <w:r>
        <w:rPr>
          <w:rFonts w:ascii="Times New Roman" w:hAnsi="Times New Roman"/>
          <w:b/>
          <w:bCs/>
          <w:color w:val="000000"/>
        </w:rPr>
        <w:t>URBROJ:</w:t>
      </w:r>
      <w:r>
        <w:rPr>
          <w:rFonts w:ascii="Times New Roman" w:hAnsi="Times New Roman"/>
          <w:color w:val="000000"/>
        </w:rPr>
        <w:t xml:space="preserve"> 2196-19-02-26-02</w:t>
      </w:r>
    </w:p>
    <w:p>
      <w:pPr>
        <w:pStyle w:val="Normal"/>
        <w:spacing w:before="0" w:after="0"/>
        <w:rPr>
          <w:rFonts w:ascii="Times New Roman" w:hAnsi="Times New Roman"/>
        </w:rPr>
      </w:pPr>
      <w:r>
        <w:rPr>
          <w:rFonts w:ascii="Times New Roman" w:hAnsi="Times New Roman"/>
          <w:b/>
          <w:bCs/>
        </w:rPr>
        <w:t xml:space="preserve">Negoslavci, </w:t>
      </w:r>
      <w:r>
        <w:rPr>
          <w:rFonts w:ascii="Times New Roman" w:hAnsi="Times New Roman"/>
        </w:rPr>
        <w:t xml:space="preserve">24. rujan 2026. </w:t>
      </w:r>
    </w:p>
    <w:p>
      <w:pPr>
        <w:pStyle w:val="ListParagraph"/>
        <w:ind w:left="1080" w:hanging="0"/>
        <w:rPr>
          <w:rFonts w:ascii="Times New Roman" w:hAnsi="Times New Roman"/>
        </w:rPr>
      </w:pPr>
      <w:r>
        <w:rPr>
          <w:rFonts w:ascii="Times New Roman" w:hAnsi="Times New Roman"/>
        </w:rPr>
      </w:r>
    </w:p>
    <w:p>
      <w:pPr>
        <w:pStyle w:val="ListParagraph"/>
        <w:ind w:left="720" w:hanging="0"/>
        <w:jc w:val="center"/>
        <w:rPr>
          <w:rFonts w:ascii="Times New Roman" w:hAnsi="Times New Roman"/>
        </w:rPr>
      </w:pPr>
      <w:r>
        <w:rPr>
          <w:rFonts w:ascii="Times New Roman" w:hAnsi="Times New Roman"/>
          <w:b/>
          <w:bCs/>
        </w:rPr>
        <w:t>PREDSJEDNIK OPĆINSKOG VIJEĆA</w:t>
      </w:r>
    </w:p>
    <w:p>
      <w:pPr>
        <w:pStyle w:val="ListParagraph"/>
        <w:ind w:left="720" w:hanging="0"/>
        <w:jc w:val="center"/>
        <w:rPr>
          <w:rFonts w:ascii="Times New Roman" w:hAnsi="Times New Roman"/>
        </w:rPr>
      </w:pPr>
      <w:r>
        <w:rPr>
          <w:rFonts w:ascii="Times New Roman" w:hAnsi="Times New Roman"/>
        </w:rPr>
        <w:t>Miodrag Mišanović</w:t>
      </w:r>
    </w:p>
    <w:p>
      <w:pPr>
        <w:pStyle w:val="Normal"/>
        <w:bidi w:val="0"/>
        <w:jc w:val="center"/>
        <w:rPr>
          <w:rFonts w:ascii="Times New Roman" w:hAnsi="Times New Roman"/>
        </w:rPr>
      </w:pPr>
      <w:r>
        <w:rPr>
          <w:rFonts w:ascii="Times New Roman" w:hAnsi="Times New Roman"/>
        </w:rPr>
        <w:drawing>
          <wp:inline distT="0" distB="0" distL="0" distR="0">
            <wp:extent cx="5761355" cy="36830"/>
            <wp:effectExtent l="0" t="0" r="0" b="0"/>
            <wp:docPr id="4" name="Slika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5" descr=""/>
                    <pic:cNvPicPr>
                      <a:picLocks noChangeAspect="1" noChangeArrowheads="1"/>
                    </pic:cNvPicPr>
                  </pic:nvPicPr>
                  <pic:blipFill>
                    <a:blip r:embed="rId6"/>
                    <a:stretch>
                      <a:fillRect/>
                    </a:stretch>
                  </pic:blipFill>
                  <pic:spPr bwMode="auto">
                    <a:xfrm>
                      <a:off x="0" y="0"/>
                      <a:ext cx="5761355" cy="36830"/>
                    </a:xfrm>
                    <a:prstGeom prst="rect">
                      <a:avLst/>
                    </a:prstGeom>
                  </pic:spPr>
                </pic:pic>
              </a:graphicData>
            </a:graphic>
          </wp:inline>
        </w:drawing>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center"/>
        <w:rPr>
          <w:rFonts w:ascii="Times New Roman" w:hAnsi="Times New Roman"/>
          <w:b/>
          <w:b/>
          <w:bCs/>
        </w:rPr>
      </w:pPr>
      <w:r>
        <w:rPr>
          <w:rFonts w:ascii="Times New Roman" w:hAnsi="Times New Roman"/>
          <w:b/>
          <w:bCs/>
        </w:rPr>
      </w:r>
    </w:p>
    <w:p>
      <w:pPr>
        <w:pStyle w:val="Normal"/>
        <w:bidi w:val="0"/>
        <w:jc w:val="both"/>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b w:val="false"/>
          <w:bCs w:val="false"/>
        </w:rPr>
        <w:tab/>
        <w:t xml:space="preserve">Na temelju članka 230. Zakona o zdravstvenoj zaštiti („Narodne novine” broj 100/18, 125/19, 147/20, 119/22, 156/22, 33/23, 36/24 i 102/25) i članka 19., točke 2. Statuta Općine Negoslavci („Službeni glasnik Općine Negoslavci” broj 04/25), Općinsko vijeće Općine Negoslavci dana 24.09.2026. godine donosi </w:t>
      </w:r>
    </w:p>
    <w:p>
      <w:pPr>
        <w:pStyle w:val="Normal"/>
        <w:bidi w:val="0"/>
        <w:jc w:val="left"/>
        <w:rPr>
          <w:rFonts w:ascii="Times New Roman" w:hAnsi="Times New Roman"/>
          <w:b w:val="false"/>
          <w:b w:val="false"/>
          <w:bCs w:val="false"/>
        </w:rPr>
      </w:pPr>
      <w:r>
        <w:rPr>
          <w:rFonts w:ascii="Times New Roman" w:hAnsi="Times New Roman"/>
          <w:b w:val="false"/>
          <w:bCs w:val="false"/>
        </w:rPr>
      </w:r>
    </w:p>
    <w:p>
      <w:pPr>
        <w:pStyle w:val="Normal"/>
        <w:bidi w:val="0"/>
        <w:jc w:val="center"/>
        <w:rPr>
          <w:rFonts w:ascii="Times New Roman" w:hAnsi="Times New Roman"/>
        </w:rPr>
      </w:pPr>
      <w:r>
        <w:rPr>
          <w:rFonts w:ascii="Times New Roman" w:hAnsi="Times New Roman"/>
          <w:b/>
          <w:bCs/>
          <w:i w:val="false"/>
          <w:iCs w:val="false"/>
        </w:rPr>
        <w:t>ODLUKU</w:t>
      </w:r>
    </w:p>
    <w:p>
      <w:pPr>
        <w:pStyle w:val="Normal"/>
        <w:bidi w:val="0"/>
        <w:jc w:val="center"/>
        <w:rPr>
          <w:rFonts w:ascii="Times New Roman" w:hAnsi="Times New Roman"/>
        </w:rPr>
      </w:pPr>
      <w:r>
        <w:rPr>
          <w:rFonts w:ascii="Times New Roman" w:hAnsi="Times New Roman"/>
          <w:b/>
          <w:bCs/>
          <w:i w:val="false"/>
          <w:iCs w:val="false"/>
        </w:rPr>
        <w:t>o prijedlogu za imenovanje mrtvozornika na području Općine Negoslavci</w:t>
      </w:r>
    </w:p>
    <w:p>
      <w:pPr>
        <w:pStyle w:val="Normal"/>
        <w:bidi w:val="0"/>
        <w:jc w:val="center"/>
        <w:rPr>
          <w:rFonts w:ascii="Times New Roman" w:hAnsi="Times New Roman"/>
          <w:b/>
          <w:b/>
          <w:bCs/>
          <w:i w:val="false"/>
          <w:i w:val="false"/>
          <w:iCs w:val="false"/>
        </w:rPr>
      </w:pPr>
      <w:r>
        <w:rPr>
          <w:rFonts w:ascii="Times New Roman" w:hAnsi="Times New Roman"/>
          <w:b/>
          <w:bCs/>
          <w:i w:val="false"/>
          <w:iCs w:val="false"/>
        </w:rPr>
      </w:r>
    </w:p>
    <w:p>
      <w:pPr>
        <w:pStyle w:val="Normal"/>
        <w:bidi w:val="0"/>
        <w:jc w:val="center"/>
        <w:rPr>
          <w:rFonts w:ascii="Times New Roman" w:hAnsi="Times New Roman"/>
        </w:rPr>
      </w:pPr>
      <w:r>
        <w:rPr>
          <w:rFonts w:ascii="Times New Roman" w:hAnsi="Times New Roman"/>
          <w:b/>
          <w:bCs/>
          <w:i w:val="false"/>
          <w:iCs w:val="false"/>
        </w:rPr>
        <w:t>Članak 1.</w:t>
      </w:r>
    </w:p>
    <w:p>
      <w:pPr>
        <w:pStyle w:val="Normal"/>
        <w:bidi w:val="0"/>
        <w:jc w:val="both"/>
        <w:rPr>
          <w:rFonts w:ascii="Times New Roman" w:hAnsi="Times New Roman"/>
        </w:rPr>
      </w:pPr>
      <w:r>
        <w:rPr>
          <w:rFonts w:ascii="Times New Roman" w:hAnsi="Times New Roman"/>
          <w:b w:val="false"/>
          <w:bCs w:val="false"/>
          <w:i w:val="false"/>
          <w:iCs w:val="false"/>
        </w:rPr>
        <w:tab/>
        <w:t>Predlaže se Županijskog skupštini Vukovarsko-srijemske županije imenovanje</w:t>
      </w:r>
      <w:r>
        <w:rPr>
          <w:rFonts w:ascii="Times New Roman" w:hAnsi="Times New Roman"/>
          <w:b w:val="false"/>
          <w:bCs w:val="false"/>
          <w:i w:val="false"/>
          <w:iCs w:val="false"/>
          <w:lang w:val="hr-HR"/>
        </w:rPr>
        <w:t xml:space="preserve"> dva </w:t>
      </w:r>
      <w:r>
        <w:rPr>
          <w:rFonts w:ascii="Times New Roman" w:hAnsi="Times New Roman"/>
          <w:b w:val="false"/>
          <w:bCs w:val="false"/>
          <w:i w:val="false"/>
          <w:iCs w:val="false"/>
        </w:rPr>
        <w:t>mrtvozornika, koji će utvrđivati nastup, vrijeme i uzrok smrti osoba umrlih izvan zdravstvene ustanove za područje Općine Negoslavci, kako slijedi:</w:t>
      </w:r>
    </w:p>
    <w:p>
      <w:pPr>
        <w:pStyle w:val="Normal"/>
        <w:bidi w:val="0"/>
        <w:jc w:val="both"/>
        <w:rPr>
          <w:rFonts w:ascii="Times New Roman" w:hAnsi="Times New Roman"/>
        </w:rPr>
      </w:pPr>
      <w:r>
        <w:rPr>
          <w:rFonts w:ascii="Times New Roman" w:hAnsi="Times New Roman"/>
          <w:b w:val="false"/>
          <w:bCs w:val="false"/>
          <w:i w:val="false"/>
          <w:iCs w:val="false"/>
        </w:rPr>
        <w:t>1. Tomislav Prša, mag.med.techn. i</w:t>
      </w:r>
    </w:p>
    <w:p>
      <w:pPr>
        <w:pStyle w:val="Normal"/>
        <w:bidi w:val="0"/>
        <w:jc w:val="both"/>
        <w:rPr>
          <w:rFonts w:ascii="Times New Roman" w:hAnsi="Times New Roman"/>
        </w:rPr>
      </w:pPr>
      <w:r>
        <w:rPr>
          <w:rFonts w:ascii="Times New Roman" w:hAnsi="Times New Roman"/>
          <w:b w:val="false"/>
          <w:bCs w:val="false"/>
          <w:i w:val="false"/>
          <w:iCs w:val="false"/>
        </w:rPr>
        <w:t>2. Paula Kardum, dr. med..</w:t>
      </w:r>
    </w:p>
    <w:p>
      <w:pPr>
        <w:pStyle w:val="Normal"/>
        <w:bidi w:val="0"/>
        <w:jc w:val="left"/>
        <w:rPr>
          <w:rFonts w:ascii="Times New Roman" w:hAnsi="Times New Roman"/>
          <w:b w:val="false"/>
          <w:b w:val="false"/>
          <w:bCs w:val="false"/>
        </w:rPr>
      </w:pPr>
      <w:r>
        <w:rPr>
          <w:rFonts w:ascii="Times New Roman" w:hAnsi="Times New Roman"/>
          <w:b w:val="false"/>
          <w:bCs w:val="false"/>
        </w:rPr>
      </w:r>
    </w:p>
    <w:p>
      <w:pPr>
        <w:pStyle w:val="Normal"/>
        <w:bidi w:val="0"/>
        <w:jc w:val="center"/>
        <w:rPr>
          <w:rFonts w:ascii="Times New Roman" w:hAnsi="Times New Roman"/>
        </w:rPr>
      </w:pPr>
      <w:r>
        <w:rPr>
          <w:rFonts w:ascii="Times New Roman" w:hAnsi="Times New Roman"/>
          <w:b/>
          <w:bCs/>
          <w:i w:val="false"/>
          <w:iCs w:val="false"/>
        </w:rPr>
        <w:t>Članak 2.</w:t>
      </w:r>
    </w:p>
    <w:p>
      <w:pPr>
        <w:pStyle w:val="Normal"/>
        <w:bidi w:val="0"/>
        <w:jc w:val="both"/>
        <w:rPr>
          <w:rFonts w:ascii="Times New Roman" w:hAnsi="Times New Roman"/>
        </w:rPr>
      </w:pPr>
      <w:r>
        <w:rPr>
          <w:rFonts w:ascii="Times New Roman" w:hAnsi="Times New Roman"/>
          <w:b w:val="false"/>
          <w:bCs w:val="false"/>
          <w:i w:val="false"/>
          <w:iCs w:val="false"/>
        </w:rPr>
        <w:tab/>
        <w:t>Ova Odluka prosljeđuje se Županijskoj skupštini Vukovarsko-srijemske županije na daljnje</w:t>
      </w:r>
    </w:p>
    <w:p>
      <w:pPr>
        <w:pStyle w:val="Normal"/>
        <w:bidi w:val="0"/>
        <w:jc w:val="both"/>
        <w:rPr>
          <w:rFonts w:ascii="Times New Roman" w:hAnsi="Times New Roman"/>
        </w:rPr>
      </w:pPr>
      <w:r>
        <w:rPr>
          <w:rFonts w:ascii="Times New Roman" w:hAnsi="Times New Roman"/>
          <w:b w:val="false"/>
          <w:bCs w:val="false"/>
          <w:i w:val="false"/>
          <w:iCs w:val="false"/>
        </w:rPr>
        <w:t>postupanje.</w:t>
      </w:r>
    </w:p>
    <w:p>
      <w:pPr>
        <w:pStyle w:val="Normal"/>
        <w:bidi w:val="0"/>
        <w:jc w:val="both"/>
        <w:rPr>
          <w:rFonts w:ascii="Times New Roman" w:hAnsi="Times New Roman"/>
          <w:b w:val="false"/>
          <w:b w:val="false"/>
          <w:bCs w:val="false"/>
          <w:lang w:val="sr-RS"/>
        </w:rPr>
      </w:pPr>
      <w:r>
        <w:rPr>
          <w:rFonts w:ascii="Times New Roman" w:hAnsi="Times New Roman"/>
          <w:b w:val="false"/>
          <w:bCs w:val="false"/>
          <w:lang w:val="sr-RS"/>
        </w:rPr>
      </w:r>
    </w:p>
    <w:p>
      <w:pPr>
        <w:pStyle w:val="Normal"/>
        <w:bidi w:val="0"/>
        <w:jc w:val="center"/>
        <w:rPr>
          <w:rFonts w:ascii="Times New Roman" w:hAnsi="Times New Roman"/>
        </w:rPr>
      </w:pPr>
      <w:r>
        <w:rPr>
          <w:rFonts w:ascii="Times New Roman" w:hAnsi="Times New Roman"/>
          <w:b/>
          <w:bCs/>
          <w:i w:val="false"/>
          <w:iCs w:val="false"/>
        </w:rPr>
        <w:t>Članak 3.</w:t>
      </w:r>
    </w:p>
    <w:p>
      <w:pPr>
        <w:pStyle w:val="Normal"/>
        <w:bidi w:val="0"/>
        <w:jc w:val="both"/>
        <w:rPr>
          <w:rFonts w:ascii="Times New Roman" w:hAnsi="Times New Roman"/>
        </w:rPr>
      </w:pPr>
      <w:r>
        <w:rPr>
          <w:rFonts w:ascii="Times New Roman" w:hAnsi="Times New Roman"/>
          <w:b w:val="false"/>
          <w:bCs w:val="false"/>
          <w:i w:val="false"/>
          <w:iCs w:val="false"/>
        </w:rPr>
        <w:tab/>
        <w:t>Ova Odluka stupa na snagu danom nakon dana objave u Službenom glasniku Općine Negoslavci.</w:t>
      </w:r>
    </w:p>
    <w:p>
      <w:pPr>
        <w:pStyle w:val="Normal"/>
        <w:bidi w:val="0"/>
        <w:jc w:val="both"/>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b w:val="false"/>
          <w:bCs w:val="false"/>
          <w:i w:val="false"/>
          <w:iCs w:val="false"/>
        </w:rPr>
        <w:t>KLASA: 024-04/26-01/01</w:t>
      </w:r>
    </w:p>
    <w:p>
      <w:pPr>
        <w:pStyle w:val="Normal"/>
        <w:bidi w:val="0"/>
        <w:jc w:val="both"/>
        <w:rPr>
          <w:rFonts w:ascii="Times New Roman" w:hAnsi="Times New Roman"/>
        </w:rPr>
      </w:pPr>
      <w:r>
        <w:rPr>
          <w:rFonts w:ascii="Times New Roman" w:hAnsi="Times New Roman"/>
          <w:b w:val="false"/>
          <w:bCs w:val="false"/>
          <w:i w:val="false"/>
          <w:iCs w:val="false"/>
        </w:rPr>
        <w:t>URBROJ: 2196-19-02-26-01</w:t>
      </w:r>
    </w:p>
    <w:p>
      <w:pPr>
        <w:pStyle w:val="Normal"/>
        <w:bidi w:val="0"/>
        <w:jc w:val="both"/>
        <w:rPr>
          <w:rFonts w:ascii="Times New Roman" w:hAnsi="Times New Roman"/>
        </w:rPr>
      </w:pPr>
      <w:r>
        <w:rPr>
          <w:rFonts w:ascii="Times New Roman" w:hAnsi="Times New Roman"/>
          <w:b w:val="false"/>
          <w:bCs w:val="false"/>
          <w:i w:val="false"/>
          <w:iCs w:val="false"/>
        </w:rPr>
        <w:t>Negoslavci, 24. rujan 2026.</w:t>
      </w:r>
    </w:p>
    <w:p>
      <w:pPr>
        <w:pStyle w:val="Normal"/>
        <w:bidi w:val="0"/>
        <w:jc w:val="left"/>
        <w:rPr>
          <w:rFonts w:ascii="Times New Roman" w:hAnsi="Times New Roman"/>
          <w:b w:val="false"/>
          <w:b w:val="false"/>
          <w:bCs w:val="false"/>
        </w:rPr>
      </w:pPr>
      <w:r>
        <w:rPr>
          <w:rFonts w:ascii="Times New Roman" w:hAnsi="Times New Roman"/>
          <w:b w:val="false"/>
          <w:bCs w:val="false"/>
        </w:rPr>
      </w:r>
    </w:p>
    <w:p>
      <w:pPr>
        <w:pStyle w:val="Normal"/>
        <w:bidi w:val="0"/>
        <w:jc w:val="center"/>
        <w:rPr>
          <w:rFonts w:ascii="Times New Roman" w:hAnsi="Times New Roman"/>
        </w:rPr>
      </w:pPr>
      <w:r>
        <w:rPr>
          <w:rFonts w:ascii="Times New Roman" w:hAnsi="Times New Roman"/>
          <w:b/>
          <w:bCs/>
          <w:i w:val="false"/>
          <w:iCs w:val="false"/>
        </w:rPr>
        <w:t>PREDSJEDNIK OPĆINSKOG VIJEĆA:</w:t>
      </w:r>
    </w:p>
    <w:p>
      <w:pPr>
        <w:pStyle w:val="Normal"/>
        <w:bidi w:val="0"/>
        <w:jc w:val="center"/>
        <w:rPr>
          <w:rFonts w:ascii="Times New Roman" w:hAnsi="Times New Roman"/>
        </w:rPr>
      </w:pPr>
      <w:r>
        <w:rPr>
          <w:rFonts w:ascii="Times New Roman" w:hAnsi="Times New Roman"/>
          <w:b w:val="false"/>
          <w:bCs w:val="false"/>
          <w:i w:val="false"/>
          <w:iCs w:val="false"/>
        </w:rPr>
        <w:t>Miodrag Mišanović</w:t>
      </w:r>
    </w:p>
    <w:p>
      <w:pPr>
        <w:pStyle w:val="Normal"/>
        <w:bidi w:val="0"/>
        <w:jc w:val="center"/>
        <w:rPr>
          <w:rFonts w:ascii="Times New Roman" w:hAnsi="Times New Roman"/>
        </w:rPr>
      </w:pPr>
      <w:r>
        <w:rPr>
          <w:rFonts w:ascii="Times New Roman" w:hAnsi="Times New Roman"/>
        </w:rPr>
        <w:drawing>
          <wp:inline distT="0" distB="0" distL="0" distR="0">
            <wp:extent cx="5761355" cy="36830"/>
            <wp:effectExtent l="0" t="0" r="0" b="0"/>
            <wp:docPr id="5" name="Slik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ka1" descr=""/>
                    <pic:cNvPicPr>
                      <a:picLocks noChangeAspect="1" noChangeArrowheads="1"/>
                    </pic:cNvPicPr>
                  </pic:nvPicPr>
                  <pic:blipFill>
                    <a:blip r:embed="rId7"/>
                    <a:stretch>
                      <a:fillRect/>
                    </a:stretch>
                  </pic:blipFill>
                  <pic:spPr bwMode="auto">
                    <a:xfrm>
                      <a:off x="0" y="0"/>
                      <a:ext cx="5761355" cy="36830"/>
                    </a:xfrm>
                    <a:prstGeom prst="rect">
                      <a:avLst/>
                    </a:prstGeom>
                  </pic:spPr>
                </pic:pic>
              </a:graphicData>
            </a:graphic>
          </wp:inline>
        </w:drawing>
      </w:r>
    </w:p>
    <w:p>
      <w:pPr>
        <w:pStyle w:val="Normal"/>
        <w:bidi w:val="0"/>
        <w:jc w:val="both"/>
        <w:rPr>
          <w:rFonts w:ascii="Times New Roman" w:hAnsi="Times New Roman"/>
          <w:lang w:val="hr-HR"/>
        </w:rPr>
      </w:pPr>
      <w:r>
        <w:rPr>
          <w:rFonts w:ascii="Times New Roman" w:hAnsi="Times New Roman"/>
          <w:lang w:val="hr-HR"/>
        </w:rPr>
      </w:r>
    </w:p>
    <w:p>
      <w:pPr>
        <w:pStyle w:val="Normal"/>
        <w:bidi w:val="0"/>
        <w:jc w:val="both"/>
        <w:rPr>
          <w:rFonts w:ascii="Times New Roman" w:hAnsi="Times New Roman"/>
          <w:lang w:val="hr-HR"/>
        </w:rPr>
      </w:pPr>
      <w:r>
        <w:rPr>
          <w:rFonts w:ascii="Times New Roman" w:hAnsi="Times New Roman"/>
          <w:lang w:val="hr-HR"/>
        </w:rPr>
      </w:r>
    </w:p>
    <w:p>
      <w:pPr>
        <w:pStyle w:val="Normal"/>
        <w:bidi w:val="0"/>
        <w:jc w:val="both"/>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rPr>
      </w:r>
    </w:p>
    <w:p>
      <w:pPr>
        <w:pStyle w:val="Normal"/>
        <w:jc w:val="both"/>
        <w:rPr>
          <w:rFonts w:ascii="Times New Roman" w:hAnsi="Times New Roman"/>
        </w:rPr>
      </w:pPr>
      <w:r>
        <w:rPr>
          <w:rFonts w:ascii="Times New Roman" w:hAnsi="Times New Roman"/>
          <w:lang w:val="hr-HR"/>
        </w:rPr>
        <w:tab/>
        <w:t xml:space="preserve">Na temelju članka 104. Zakona o komunalnom gospodarstvu („Narodne novine“ broj 68/18, 110/18, 32/20 i 145/24) i članka 19., točke 2. Statuta Općine Negoslavci („Službeni glasnik Općine Negoslavci“ broj 04/25), Općinsko vijeće Općine Negoslavci na svojoj redovnoj sjednici održanoj </w:t>
      </w:r>
      <w:r>
        <w:rPr>
          <w:rFonts w:ascii="Times New Roman" w:hAnsi="Times New Roman"/>
          <w:color w:val="000000" w:themeColor="text1"/>
          <w:lang w:val="hr-HR"/>
        </w:rPr>
        <w:t>dana 24.09.</w:t>
      </w:r>
      <w:r>
        <w:rPr>
          <w:rFonts w:ascii="Times New Roman" w:hAnsi="Times New Roman"/>
          <w:lang w:val="hr-HR"/>
        </w:rPr>
        <w:t>2026. godine donosi</w:t>
      </w:r>
    </w:p>
    <w:p>
      <w:pPr>
        <w:pStyle w:val="Normal"/>
        <w:jc w:val="both"/>
        <w:rPr>
          <w:rFonts w:ascii="Times New Roman" w:hAnsi="Times New Roman"/>
        </w:rPr>
      </w:pPr>
      <w:r>
        <w:rPr>
          <w:rFonts w:ascii="Times New Roman" w:hAnsi="Times New Roman"/>
        </w:rPr>
      </w:r>
    </w:p>
    <w:p>
      <w:pPr>
        <w:pStyle w:val="Normal"/>
        <w:jc w:val="center"/>
        <w:rPr>
          <w:rFonts w:ascii="Times New Roman" w:hAnsi="Times New Roman"/>
          <w:b/>
          <w:b/>
          <w:bCs/>
        </w:rPr>
      </w:pPr>
      <w:r>
        <w:rPr>
          <w:rFonts w:ascii="Times New Roman" w:hAnsi="Times New Roman"/>
          <w:b/>
          <w:bCs/>
        </w:rPr>
        <w:t>ODLUKU</w:t>
      </w:r>
    </w:p>
    <w:p>
      <w:pPr>
        <w:pStyle w:val="Normal"/>
        <w:jc w:val="center"/>
        <w:rPr>
          <w:rFonts w:ascii="Times New Roman" w:hAnsi="Times New Roman"/>
          <w:b/>
          <w:b/>
          <w:bCs/>
        </w:rPr>
      </w:pPr>
      <w:r>
        <w:rPr>
          <w:rFonts w:ascii="Times New Roman" w:hAnsi="Times New Roman"/>
          <w:b/>
          <w:bCs/>
        </w:rPr>
        <w:t>o izmjenama i dopunama Odluke o komunalnom redu</w:t>
      </w:r>
    </w:p>
    <w:p>
      <w:pPr>
        <w:pStyle w:val="Normal"/>
        <w:jc w:val="center"/>
        <w:rPr>
          <w:rFonts w:ascii="Times New Roman" w:hAnsi="Times New Roman"/>
          <w:b/>
          <w:b/>
          <w:bCs/>
        </w:rPr>
      </w:pPr>
      <w:r>
        <w:rPr>
          <w:rFonts w:ascii="Times New Roman" w:hAnsi="Times New Roman"/>
          <w:b/>
          <w:bCs/>
        </w:rPr>
      </w:r>
    </w:p>
    <w:p>
      <w:pPr>
        <w:pStyle w:val="Normal"/>
        <w:jc w:val="center"/>
        <w:rPr>
          <w:rFonts w:ascii="Times New Roman" w:hAnsi="Times New Roman"/>
          <w:b/>
          <w:b/>
          <w:bCs/>
        </w:rPr>
      </w:pPr>
      <w:r>
        <w:rPr>
          <w:rFonts w:ascii="Times New Roman" w:hAnsi="Times New Roman"/>
          <w:b/>
          <w:bCs/>
        </w:rPr>
        <w:t>Članak 1.</w:t>
      </w:r>
    </w:p>
    <w:p>
      <w:pPr>
        <w:pStyle w:val="Normal"/>
        <w:jc w:val="both"/>
        <w:rPr>
          <w:rFonts w:ascii="Times New Roman" w:hAnsi="Times New Roman"/>
        </w:rPr>
      </w:pPr>
      <w:r>
        <w:rPr>
          <w:rFonts w:ascii="Times New Roman" w:hAnsi="Times New Roman"/>
        </w:rPr>
        <w:tab/>
        <w:t>Mijenja se članak 2. Odluke o komunalnom redu („Službeni glasnik Općine Negoslavci” broj 3/22) i glasi: „Fizičke i pravne osobe te drugi subjekti s područja Općine kao i subjekti koji borave ili prolaze područjem Općine, obvezni su pridržavati se komunalnog reda, propisanog ovom Odlukom.”</w:t>
      </w:r>
    </w:p>
    <w:p>
      <w:pPr>
        <w:pStyle w:val="Normal"/>
        <w:jc w:val="left"/>
        <w:rPr>
          <w:rFonts w:ascii="Times New Roman" w:hAnsi="Times New Roman"/>
        </w:rPr>
      </w:pPr>
      <w:r>
        <w:rPr>
          <w:rFonts w:ascii="Times New Roman" w:hAnsi="Times New Roman"/>
        </w:rPr>
      </w:r>
    </w:p>
    <w:p>
      <w:pPr>
        <w:pStyle w:val="Normal"/>
        <w:jc w:val="center"/>
        <w:rPr>
          <w:rFonts w:ascii="Times New Roman" w:hAnsi="Times New Roman"/>
          <w:b/>
          <w:b/>
          <w:bCs/>
        </w:rPr>
      </w:pPr>
      <w:r>
        <w:rPr>
          <w:rFonts w:ascii="Times New Roman" w:hAnsi="Times New Roman"/>
          <w:b/>
          <w:bCs/>
        </w:rPr>
        <w:t>Članak 2.</w:t>
      </w:r>
    </w:p>
    <w:p>
      <w:pPr>
        <w:pStyle w:val="Normal"/>
        <w:jc w:val="both"/>
        <w:rPr>
          <w:rFonts w:ascii="Times New Roman" w:hAnsi="Times New Roman"/>
        </w:rPr>
      </w:pPr>
      <w:r>
        <w:rPr>
          <w:rFonts w:ascii="Times New Roman" w:hAnsi="Times New Roman"/>
        </w:rPr>
        <w:tab/>
        <w:t>U članku 46. Odluke o komunalnom redu (u daljem tekstu: Odluka) dodaje se stavak 2. i glasi: „Prethodni stavak se primjenjuje u svim slučajevima iz prethodnog stavka, osim u slučaju neovlaštenog odbacivanja otpada, za koji se primjenjuje Odluka o sprječavanju odbacivanja otpada na području Općine Negoslavci.”</w:t>
      </w:r>
    </w:p>
    <w:p>
      <w:pPr>
        <w:pStyle w:val="Normal"/>
        <w:jc w:val="left"/>
        <w:rPr>
          <w:rFonts w:ascii="Times New Roman" w:hAnsi="Times New Roman"/>
        </w:rPr>
      </w:pPr>
      <w:r>
        <w:rPr>
          <w:rFonts w:ascii="Times New Roman" w:hAnsi="Times New Roman"/>
        </w:rPr>
      </w:r>
    </w:p>
    <w:p>
      <w:pPr>
        <w:pStyle w:val="Normal"/>
        <w:jc w:val="center"/>
        <w:rPr>
          <w:rFonts w:ascii="Times New Roman" w:hAnsi="Times New Roman"/>
          <w:b/>
          <w:b/>
          <w:bCs/>
        </w:rPr>
      </w:pPr>
      <w:r>
        <w:rPr>
          <w:rFonts w:ascii="Times New Roman" w:hAnsi="Times New Roman"/>
          <w:b/>
          <w:bCs/>
        </w:rPr>
        <w:t>Članak 3.</w:t>
      </w:r>
    </w:p>
    <w:p>
      <w:pPr>
        <w:pStyle w:val="Normal"/>
        <w:jc w:val="both"/>
        <w:rPr>
          <w:rFonts w:ascii="Times New Roman" w:hAnsi="Times New Roman"/>
        </w:rPr>
      </w:pPr>
      <w:r>
        <w:rPr>
          <w:rFonts w:ascii="Times New Roman" w:hAnsi="Times New Roman"/>
        </w:rPr>
        <w:tab/>
        <w:t>Mijenja se članak 47. Odluke i glasi: „Novčanim kaznama u visini od 500,00 EUR kaznit će se pravna osoba za prekršaj iz:</w:t>
      </w:r>
    </w:p>
    <w:p>
      <w:pPr>
        <w:pStyle w:val="Normal"/>
        <w:jc w:val="both"/>
        <w:rPr>
          <w:rFonts w:ascii="Times New Roman" w:hAnsi="Times New Roman"/>
        </w:rPr>
      </w:pPr>
      <w:r>
        <w:rPr>
          <w:rFonts w:ascii="Times New Roman" w:hAnsi="Times New Roman"/>
        </w:rPr>
        <w:t xml:space="preserve">    </w:t>
      </w:r>
      <w:r>
        <w:rPr>
          <w:rFonts w:ascii="Times New Roman" w:hAnsi="Times New Roman"/>
        </w:rPr>
        <w:t>1. članak 5. ove Odluke,</w:t>
      </w:r>
    </w:p>
    <w:p>
      <w:pPr>
        <w:pStyle w:val="Normal"/>
        <w:jc w:val="both"/>
        <w:rPr>
          <w:rFonts w:ascii="Times New Roman" w:hAnsi="Times New Roman"/>
        </w:rPr>
      </w:pPr>
      <w:r>
        <w:rPr>
          <w:rFonts w:ascii="Times New Roman" w:hAnsi="Times New Roman"/>
        </w:rPr>
        <w:t xml:space="preserve">    </w:t>
      </w:r>
      <w:r>
        <w:rPr>
          <w:rFonts w:ascii="Times New Roman" w:hAnsi="Times New Roman"/>
        </w:rPr>
        <w:t>2. članak 9. alineje 3. ove Odluke,</w:t>
      </w:r>
    </w:p>
    <w:p>
      <w:pPr>
        <w:pStyle w:val="Normal"/>
        <w:jc w:val="both"/>
        <w:rPr>
          <w:rFonts w:ascii="Times New Roman" w:hAnsi="Times New Roman"/>
        </w:rPr>
      </w:pPr>
      <w:r>
        <w:rPr>
          <w:rFonts w:ascii="Times New Roman" w:hAnsi="Times New Roman"/>
        </w:rPr>
        <w:t xml:space="preserve">    </w:t>
      </w:r>
      <w:r>
        <w:rPr>
          <w:rFonts w:ascii="Times New Roman" w:hAnsi="Times New Roman"/>
        </w:rPr>
        <w:t>3. članka 11. i 12. ove Odluke,</w:t>
      </w:r>
    </w:p>
    <w:p>
      <w:pPr>
        <w:pStyle w:val="Normal"/>
        <w:jc w:val="both"/>
        <w:rPr>
          <w:rFonts w:ascii="Times New Roman" w:hAnsi="Times New Roman"/>
        </w:rPr>
      </w:pPr>
      <w:r>
        <w:rPr>
          <w:rFonts w:ascii="Times New Roman" w:hAnsi="Times New Roman"/>
        </w:rPr>
        <w:t xml:space="preserve">    </w:t>
      </w:r>
      <w:r>
        <w:rPr>
          <w:rFonts w:ascii="Times New Roman" w:hAnsi="Times New Roman"/>
        </w:rPr>
        <w:t>4. članka 14. ove Odluke,</w:t>
      </w:r>
    </w:p>
    <w:p>
      <w:pPr>
        <w:pStyle w:val="Normal"/>
        <w:jc w:val="both"/>
        <w:rPr>
          <w:rFonts w:ascii="Times New Roman" w:hAnsi="Times New Roman"/>
        </w:rPr>
      </w:pPr>
      <w:r>
        <w:rPr>
          <w:rFonts w:ascii="Times New Roman" w:hAnsi="Times New Roman"/>
        </w:rPr>
        <w:t xml:space="preserve">    </w:t>
      </w:r>
      <w:r>
        <w:rPr>
          <w:rFonts w:ascii="Times New Roman" w:hAnsi="Times New Roman"/>
        </w:rPr>
        <w:t>5. članka 18. do 22. ove Odluke,</w:t>
      </w:r>
    </w:p>
    <w:p>
      <w:pPr>
        <w:pStyle w:val="Normal"/>
        <w:jc w:val="both"/>
        <w:rPr>
          <w:rFonts w:ascii="Times New Roman" w:hAnsi="Times New Roman"/>
        </w:rPr>
      </w:pPr>
      <w:r>
        <w:rPr>
          <w:rFonts w:ascii="Times New Roman" w:hAnsi="Times New Roman"/>
        </w:rPr>
        <w:t xml:space="preserve">    </w:t>
      </w:r>
      <w:r>
        <w:rPr>
          <w:rFonts w:ascii="Times New Roman" w:hAnsi="Times New Roman"/>
        </w:rPr>
        <w:t>6. članka 32. ove Odluke,</w:t>
      </w:r>
    </w:p>
    <w:p>
      <w:pPr>
        <w:pStyle w:val="Normal"/>
        <w:jc w:val="both"/>
        <w:rPr>
          <w:rFonts w:ascii="Times New Roman" w:hAnsi="Times New Roman"/>
        </w:rPr>
      </w:pPr>
      <w:r>
        <w:rPr>
          <w:rFonts w:ascii="Times New Roman" w:hAnsi="Times New Roman"/>
        </w:rPr>
        <w:t xml:space="preserve">    </w:t>
      </w:r>
      <w:r>
        <w:rPr>
          <w:rFonts w:ascii="Times New Roman" w:hAnsi="Times New Roman"/>
        </w:rPr>
        <w:t>7. ako ometa komunalnog redara u obavljanju njegove dužnosti,</w:t>
      </w:r>
    </w:p>
    <w:p>
      <w:pPr>
        <w:pStyle w:val="Normal"/>
        <w:jc w:val="both"/>
        <w:rPr>
          <w:rFonts w:ascii="Times New Roman" w:hAnsi="Times New Roman"/>
        </w:rPr>
      </w:pPr>
      <w:r>
        <w:rPr>
          <w:rFonts w:ascii="Times New Roman" w:hAnsi="Times New Roman"/>
        </w:rPr>
        <w:t xml:space="preserve">    </w:t>
      </w:r>
      <w:r>
        <w:rPr>
          <w:rFonts w:ascii="Times New Roman" w:hAnsi="Times New Roman"/>
        </w:rPr>
        <w:t>8. ako ne postupa po uputi i rješenju komunalnog redara.</w:t>
      </w:r>
    </w:p>
    <w:p>
      <w:pPr>
        <w:pStyle w:val="Normal"/>
        <w:jc w:val="both"/>
        <w:rPr>
          <w:rFonts w:ascii="Times New Roman" w:hAnsi="Times New Roman"/>
        </w:rPr>
      </w:pPr>
      <w:r>
        <w:rPr>
          <w:rFonts w:ascii="Times New Roman" w:hAnsi="Times New Roman"/>
        </w:rPr>
        <w:tab/>
        <w:t>Za prekršaj iz stavka 1. ovog članka novčanom kaznom u visini od 100,00 EUR kaznit će se odgovorna osoba u pravnoj osobi.”</w:t>
      </w:r>
    </w:p>
    <w:p>
      <w:pPr>
        <w:pStyle w:val="Normal"/>
        <w:jc w:val="left"/>
        <w:rPr>
          <w:rFonts w:ascii="Times New Roman" w:hAnsi="Times New Roman"/>
        </w:rPr>
      </w:pPr>
      <w:r>
        <w:rPr>
          <w:rFonts w:ascii="Times New Roman" w:hAnsi="Times New Roman"/>
        </w:rPr>
      </w:r>
    </w:p>
    <w:p>
      <w:pPr>
        <w:pStyle w:val="Normal"/>
        <w:jc w:val="center"/>
        <w:rPr>
          <w:rFonts w:ascii="Times New Roman" w:hAnsi="Times New Roman"/>
          <w:b/>
          <w:b/>
          <w:bCs/>
        </w:rPr>
      </w:pPr>
      <w:r>
        <w:rPr>
          <w:rFonts w:ascii="Times New Roman" w:hAnsi="Times New Roman"/>
          <w:b/>
          <w:bCs/>
        </w:rPr>
        <w:t>Članak 4.</w:t>
      </w:r>
    </w:p>
    <w:p>
      <w:pPr>
        <w:pStyle w:val="Normal"/>
        <w:jc w:val="both"/>
        <w:rPr>
          <w:rFonts w:ascii="Times New Roman" w:hAnsi="Times New Roman"/>
        </w:rPr>
      </w:pPr>
      <w:r>
        <w:rPr>
          <w:rFonts w:ascii="Times New Roman" w:hAnsi="Times New Roman"/>
        </w:rPr>
        <w:tab/>
        <w:t>Mijenja se članak 4</w:t>
      </w:r>
      <w:r>
        <w:rPr>
          <w:rFonts w:ascii="Times New Roman" w:hAnsi="Times New Roman"/>
          <w:color w:val="000000"/>
        </w:rPr>
        <w:t>8. Odluke i glasi: „</w:t>
      </w:r>
      <w:r>
        <w:rPr>
          <w:rFonts w:ascii="Times New Roman" w:hAnsi="Times New Roman"/>
          <w:color w:val="000000"/>
          <w:lang w:val="hr-HR"/>
        </w:rPr>
        <w:t xml:space="preserve">Uz naredbu za poduzimanje potrebnih radnji za uspostavu komunalnog reda, komunalni redar je ovlašten na licu mjesta izreći novčanu kaznu fizičkoj osobi u visini od </w:t>
      </w:r>
      <w:r>
        <w:rPr>
          <w:rFonts w:ascii="Times New Roman" w:hAnsi="Times New Roman"/>
          <w:color w:val="000000"/>
          <w:lang w:val="hr-HR"/>
        </w:rPr>
        <w:t>100,00</w:t>
      </w:r>
      <w:r>
        <w:rPr>
          <w:rFonts w:ascii="Times New Roman" w:hAnsi="Times New Roman"/>
          <w:color w:val="000000"/>
          <w:lang w:val="hr-HR"/>
        </w:rPr>
        <w:t xml:space="preserve"> EUR, ako počini prekršaj iz članka 46. stavka 1. točke 1., 3., 4., 5., 6., 7., 8. ove Odluke, ako se odredbe odnose na fizičke osobe.</w:t>
      </w:r>
    </w:p>
    <w:p>
      <w:pPr>
        <w:pStyle w:val="Normal"/>
        <w:jc w:val="both"/>
        <w:rPr>
          <w:rFonts w:ascii="Times New Roman" w:hAnsi="Times New Roman"/>
          <w:color w:val="000000"/>
        </w:rPr>
      </w:pPr>
      <w:r>
        <w:rPr>
          <w:rFonts w:ascii="Times New Roman" w:hAnsi="Times New Roman"/>
          <w:color w:val="000000"/>
          <w:lang w:val="hr-HR"/>
        </w:rPr>
        <w:tab/>
        <w:t xml:space="preserve">Novčanom kaznom iz stavka 1. ovog članka će se kazniti odmah na licu mjesta </w:t>
      </w:r>
      <w:r>
        <w:rPr>
          <w:rFonts w:ascii="Times New Roman" w:hAnsi="Times New Roman"/>
          <w:color w:val="000000"/>
          <w:lang w:val="hr-HR"/>
        </w:rPr>
        <w:t>fizičke osobe</w:t>
      </w:r>
      <w:r>
        <w:rPr>
          <w:rFonts w:ascii="Times New Roman" w:hAnsi="Times New Roman"/>
          <w:color w:val="000000"/>
          <w:lang w:val="hr-HR"/>
        </w:rPr>
        <w:t>, ako se ne pridržava odredbi članka 5. i članka 9., alineje 1. ove Odluke.</w:t>
      </w:r>
    </w:p>
    <w:p>
      <w:pPr>
        <w:pStyle w:val="Normal"/>
        <w:jc w:val="both"/>
        <w:rPr>
          <w:rFonts w:ascii="Times New Roman" w:hAnsi="Times New Roman"/>
        </w:rPr>
      </w:pPr>
      <w:r>
        <w:rPr>
          <w:rFonts w:ascii="Times New Roman" w:hAnsi="Times New Roman"/>
          <w:lang w:val="hr-HR"/>
        </w:rPr>
        <w:tab/>
        <w:t>Novčanu kaznu iz stavka 1. i 2. ovog članka naplaćuje komunalni redar.</w:t>
      </w:r>
      <w:r>
        <w:rPr>
          <w:rFonts w:ascii="Times New Roman" w:hAnsi="Times New Roman"/>
        </w:rPr>
        <w:t>”</w:t>
      </w:r>
    </w:p>
    <w:p>
      <w:pPr>
        <w:pStyle w:val="Normal"/>
        <w:jc w:val="left"/>
        <w:rPr>
          <w:rFonts w:ascii="Times New Roman" w:hAnsi="Times New Roman"/>
        </w:rPr>
      </w:pPr>
      <w:r>
        <w:rPr>
          <w:rFonts w:ascii="Times New Roman" w:hAnsi="Times New Roman"/>
        </w:rPr>
      </w:r>
    </w:p>
    <w:p>
      <w:pPr>
        <w:pStyle w:val="Normal"/>
        <w:jc w:val="center"/>
        <w:rPr>
          <w:rFonts w:ascii="Times New Roman" w:hAnsi="Times New Roman"/>
          <w:b/>
          <w:b/>
          <w:bCs/>
        </w:rPr>
      </w:pPr>
      <w:r>
        <w:rPr>
          <w:rFonts w:ascii="Times New Roman" w:hAnsi="Times New Roman"/>
          <w:b/>
          <w:bCs/>
        </w:rPr>
        <w:t>Članak 5.</w:t>
      </w:r>
    </w:p>
    <w:p>
      <w:pPr>
        <w:pStyle w:val="Normal"/>
        <w:jc w:val="both"/>
        <w:rPr>
          <w:rFonts w:ascii="Times New Roman" w:hAnsi="Times New Roman"/>
        </w:rPr>
      </w:pPr>
      <w:r>
        <w:rPr>
          <w:rFonts w:ascii="Times New Roman" w:hAnsi="Times New Roman"/>
        </w:rPr>
        <w:tab/>
        <w:t xml:space="preserve">Ostale odredbe ove Odluke se ne mijenjaju, niti se dopunjavaju. </w:t>
      </w:r>
    </w:p>
    <w:p>
      <w:pPr>
        <w:pStyle w:val="Normal"/>
        <w:jc w:val="left"/>
        <w:rPr>
          <w:rFonts w:ascii="Times New Roman" w:hAnsi="Times New Roman"/>
        </w:rPr>
      </w:pPr>
      <w:r>
        <w:rPr>
          <w:rFonts w:ascii="Times New Roman" w:hAnsi="Times New Roman"/>
        </w:rPr>
      </w:r>
    </w:p>
    <w:p>
      <w:pPr>
        <w:pStyle w:val="Normal"/>
        <w:jc w:val="center"/>
        <w:rPr>
          <w:rFonts w:ascii="Times New Roman" w:hAnsi="Times New Roman"/>
          <w:b/>
          <w:b/>
          <w:bCs/>
        </w:rPr>
      </w:pPr>
      <w:r>
        <w:rPr>
          <w:rFonts w:ascii="Times New Roman" w:hAnsi="Times New Roman"/>
          <w:b/>
          <w:bCs/>
        </w:rPr>
        <w:t>Članak 6.</w:t>
      </w:r>
    </w:p>
    <w:p>
      <w:pPr>
        <w:pStyle w:val="Normal"/>
        <w:jc w:val="both"/>
        <w:rPr>
          <w:rFonts w:ascii="Times New Roman" w:hAnsi="Times New Roman"/>
        </w:rPr>
      </w:pPr>
      <w:r>
        <w:rPr>
          <w:rFonts w:ascii="Times New Roman" w:hAnsi="Times New Roman"/>
        </w:rPr>
        <w:tab/>
        <w:t xml:space="preserve">Ova Odluka stupa na snagu osmog dana od dana objave u Službenom glasniku Općine Negoslavci. </w:t>
      </w:r>
    </w:p>
    <w:p>
      <w:pPr>
        <w:pStyle w:val="Normal"/>
        <w:jc w:val="both"/>
        <w:rPr>
          <w:rFonts w:ascii="Times New Roman" w:hAnsi="Times New Roman"/>
        </w:rPr>
      </w:pPr>
      <w:r>
        <w:rPr>
          <w:rFonts w:ascii="Times New Roman" w:hAnsi="Times New Roman"/>
        </w:rPr>
      </w:r>
    </w:p>
    <w:p>
      <w:pPr>
        <w:pStyle w:val="Normal"/>
        <w:rPr>
          <w:rFonts w:ascii="Times New Roman" w:hAnsi="Times New Roman"/>
          <w:b w:val="false"/>
          <w:b w:val="false"/>
          <w:bCs w:val="false"/>
        </w:rPr>
      </w:pPr>
      <w:r>
        <w:rPr>
          <w:rFonts w:ascii="Times New Roman" w:hAnsi="Times New Roman"/>
          <w:b w:val="false"/>
          <w:bCs w:val="false"/>
          <w:lang w:val="hr-HR"/>
        </w:rPr>
        <w:t>KLASA: 363-01/2</w:t>
      </w:r>
      <w:r>
        <w:rPr>
          <w:rFonts w:ascii="Times New Roman" w:hAnsi="Times New Roman"/>
          <w:b w:val="false"/>
          <w:bCs w:val="false"/>
          <w:lang w:val="hr-HR"/>
        </w:rPr>
        <w:t>2</w:t>
      </w:r>
      <w:r>
        <w:rPr>
          <w:rFonts w:ascii="Times New Roman" w:hAnsi="Times New Roman"/>
          <w:b w:val="false"/>
          <w:bCs w:val="false"/>
          <w:lang w:val="hr-HR"/>
        </w:rPr>
        <w:t>-01</w:t>
      </w:r>
      <w:r>
        <w:rPr>
          <w:rFonts w:ascii="Times New Roman" w:hAnsi="Times New Roman"/>
          <w:b w:val="false"/>
          <w:bCs w:val="false"/>
          <w:color w:val="000000"/>
          <w:lang w:val="hr-HR"/>
        </w:rPr>
        <w:t>/0</w:t>
      </w:r>
      <w:r>
        <w:rPr>
          <w:rFonts w:ascii="Times New Roman" w:hAnsi="Times New Roman"/>
          <w:b w:val="false"/>
          <w:bCs w:val="false"/>
          <w:color w:val="000000"/>
          <w:lang w:val="hr-HR"/>
        </w:rPr>
        <w:t>6</w:t>
      </w:r>
    </w:p>
    <w:p>
      <w:pPr>
        <w:pStyle w:val="Normal"/>
        <w:rPr>
          <w:rFonts w:ascii="Times New Roman" w:hAnsi="Times New Roman"/>
          <w:b w:val="false"/>
          <w:b w:val="false"/>
          <w:bCs w:val="false"/>
        </w:rPr>
      </w:pPr>
      <w:r>
        <w:rPr>
          <w:rFonts w:ascii="Times New Roman" w:hAnsi="Times New Roman"/>
          <w:b w:val="false"/>
          <w:bCs w:val="false"/>
          <w:lang w:val="hr-HR"/>
        </w:rPr>
        <w:t>URBROJ: 2196-19-02-26-0</w:t>
      </w:r>
      <w:r>
        <w:rPr>
          <w:rFonts w:ascii="Times New Roman" w:hAnsi="Times New Roman"/>
          <w:b w:val="false"/>
          <w:bCs w:val="false"/>
          <w:lang w:val="hr-HR"/>
        </w:rPr>
        <w:t>2</w:t>
      </w:r>
    </w:p>
    <w:p>
      <w:pPr>
        <w:pStyle w:val="Normal"/>
        <w:rPr>
          <w:rFonts w:ascii="Times New Roman" w:hAnsi="Times New Roman"/>
          <w:b w:val="false"/>
          <w:b w:val="false"/>
          <w:bCs w:val="false"/>
        </w:rPr>
      </w:pPr>
      <w:r>
        <w:rPr>
          <w:rFonts w:ascii="Times New Roman" w:hAnsi="Times New Roman"/>
          <w:b w:val="false"/>
          <w:bCs w:val="false"/>
          <w:color w:val="000000" w:themeColor="text1"/>
          <w:lang w:val="hr-HR"/>
        </w:rPr>
        <w:t>Negoslavci, 24. rujna 2026.</w:t>
      </w:r>
    </w:p>
    <w:p>
      <w:pPr>
        <w:pStyle w:val="Normal"/>
        <w:jc w:val="left"/>
        <w:rPr>
          <w:rFonts w:ascii="Times New Roman" w:hAnsi="Times New Roman"/>
        </w:rPr>
      </w:pPr>
      <w:r>
        <w:rPr>
          <w:rFonts w:ascii="Times New Roman" w:hAnsi="Times New Roman"/>
        </w:rPr>
      </w:r>
    </w:p>
    <w:p>
      <w:pPr>
        <w:pStyle w:val="Normal"/>
        <w:jc w:val="center"/>
        <w:rPr>
          <w:rFonts w:ascii="Times New Roman" w:hAnsi="Times New Roman"/>
          <w:b/>
          <w:b/>
          <w:bCs/>
        </w:rPr>
      </w:pPr>
      <w:r>
        <w:rPr>
          <w:rFonts w:ascii="Times New Roman" w:hAnsi="Times New Roman"/>
          <w:b/>
          <w:bCs/>
        </w:rPr>
        <w:t>PREDJEDNIK OPĆINSKOG VIJEĆA:</w:t>
      </w:r>
    </w:p>
    <w:p>
      <w:pPr>
        <w:pStyle w:val="Normal"/>
        <w:jc w:val="center"/>
        <w:rPr>
          <w:rFonts w:ascii="Times New Roman" w:hAnsi="Times New Roman"/>
        </w:rPr>
      </w:pPr>
      <w:r>
        <w:rPr>
          <w:rFonts w:ascii="Times New Roman" w:hAnsi="Times New Roman"/>
        </w:rPr>
        <w:t>Miodrag Mišanović</w:t>
      </w:r>
    </w:p>
    <w:p>
      <w:pPr>
        <w:pStyle w:val="Normal"/>
        <w:jc w:val="center"/>
        <w:rPr>
          <w:rFonts w:ascii="Times New Roman" w:hAnsi="Times New Roman"/>
        </w:rPr>
      </w:pPr>
      <w:r>
        <w:rPr>
          <w:rFonts w:ascii="Times New Roman" w:hAnsi="Times New Roman"/>
        </w:rPr>
        <w:drawing>
          <wp:inline distT="0" distB="0" distL="0" distR="0">
            <wp:extent cx="5761355" cy="36830"/>
            <wp:effectExtent l="0" t="0" r="0" b="0"/>
            <wp:docPr id="6" name="Slika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ka4" descr=""/>
                    <pic:cNvPicPr>
                      <a:picLocks noChangeAspect="1" noChangeArrowheads="1"/>
                    </pic:cNvPicPr>
                  </pic:nvPicPr>
                  <pic:blipFill>
                    <a:blip r:embed="rId8"/>
                    <a:stretch>
                      <a:fillRect/>
                    </a:stretch>
                  </pic:blipFill>
                  <pic:spPr bwMode="auto">
                    <a:xfrm>
                      <a:off x="0" y="0"/>
                      <a:ext cx="5761355" cy="36830"/>
                    </a:xfrm>
                    <a:prstGeom prst="rect">
                      <a:avLst/>
                    </a:prstGeom>
                  </pic:spPr>
                </pic:pic>
              </a:graphicData>
            </a:graphic>
          </wp:inline>
        </w:drawing>
      </w:r>
    </w:p>
    <w:p>
      <w:pPr>
        <w:pStyle w:val="Normal"/>
        <w:jc w:val="both"/>
        <w:rPr>
          <w:rFonts w:ascii="Times New Roman" w:hAnsi="Times New Roman"/>
        </w:rPr>
      </w:pPr>
      <w:r>
        <w:rPr>
          <w:rFonts w:ascii="Times New Roman" w:hAnsi="Times New Roman"/>
          <w:lang w:val="hr-HR"/>
        </w:rPr>
        <w:tab/>
        <w:t xml:space="preserve">Na temelju članka 104. Zakona o komunalnom gospodarstvu („Narodne novine“ broj 68/18, 110/18, 32/20 i 145/24) i članka 19., točke 2. Statuta Općine Negoslavci („Službeni glasnik Općine Negoslavci“ broj 04/25), Općinsko vijeće Općine Negoslavci na svojoj redovnoj sjednici održanoj </w:t>
      </w:r>
      <w:r>
        <w:rPr>
          <w:rFonts w:ascii="Times New Roman" w:hAnsi="Times New Roman"/>
          <w:color w:val="000000" w:themeColor="text1"/>
          <w:lang w:val="hr-HR"/>
        </w:rPr>
        <w:t>dana 24.09.</w:t>
      </w:r>
      <w:r>
        <w:rPr>
          <w:rFonts w:ascii="Times New Roman" w:hAnsi="Times New Roman"/>
          <w:lang w:val="hr-HR"/>
        </w:rPr>
        <w:t>2026. godine donosi</w:t>
      </w:r>
    </w:p>
    <w:p>
      <w:pPr>
        <w:pStyle w:val="Normal"/>
        <w:jc w:val="both"/>
        <w:rPr>
          <w:rFonts w:ascii="Times New Roman" w:hAnsi="Times New Roman"/>
          <w:b/>
          <w:b/>
          <w:lang w:val="hr-HR"/>
        </w:rPr>
      </w:pPr>
      <w:r>
        <w:rPr>
          <w:rFonts w:ascii="Times New Roman" w:hAnsi="Times New Roman"/>
          <w:b/>
          <w:lang w:val="hr-HR"/>
        </w:rPr>
      </w:r>
    </w:p>
    <w:p>
      <w:pPr>
        <w:pStyle w:val="Normal"/>
        <w:jc w:val="center"/>
        <w:rPr>
          <w:rFonts w:ascii="Times New Roman" w:hAnsi="Times New Roman"/>
        </w:rPr>
      </w:pPr>
      <w:r>
        <w:rPr>
          <w:rFonts w:ascii="Times New Roman" w:hAnsi="Times New Roman"/>
          <w:b/>
          <w:lang w:val="hr-HR"/>
        </w:rPr>
        <w:t>ODLUKU</w:t>
      </w:r>
    </w:p>
    <w:p>
      <w:pPr>
        <w:pStyle w:val="Normal"/>
        <w:jc w:val="center"/>
        <w:rPr>
          <w:rFonts w:ascii="Times New Roman" w:hAnsi="Times New Roman"/>
        </w:rPr>
      </w:pPr>
      <w:r>
        <w:rPr>
          <w:rFonts w:ascii="Times New Roman" w:hAnsi="Times New Roman"/>
          <w:b/>
          <w:lang w:val="hr-HR"/>
        </w:rPr>
        <w:t>o komunalnom redu Općine Negoslavci</w:t>
      </w:r>
    </w:p>
    <w:p>
      <w:pPr>
        <w:pStyle w:val="Normal"/>
        <w:jc w:val="center"/>
        <w:rPr>
          <w:rFonts w:ascii="Times New Roman" w:hAnsi="Times New Roman"/>
        </w:rPr>
      </w:pPr>
      <w:r>
        <w:rPr>
          <w:rFonts w:ascii="Times New Roman" w:hAnsi="Times New Roman"/>
          <w:b/>
          <w:lang w:val="hr-HR"/>
        </w:rPr>
        <w:t>-pročišćen tekst-</w:t>
      </w:r>
    </w:p>
    <w:p>
      <w:pPr>
        <w:pStyle w:val="Normal"/>
        <w:jc w:val="center"/>
        <w:rPr>
          <w:rFonts w:ascii="Times New Roman" w:hAnsi="Times New Roman"/>
          <w:b/>
          <w:b/>
          <w:lang w:val="hr-HR"/>
        </w:rPr>
      </w:pPr>
      <w:r>
        <w:rPr>
          <w:rFonts w:ascii="Times New Roman" w:hAnsi="Times New Roman"/>
          <w:b/>
          <w:lang w:val="hr-HR"/>
        </w:rPr>
      </w:r>
    </w:p>
    <w:p>
      <w:pPr>
        <w:pStyle w:val="Normal"/>
        <w:jc w:val="center"/>
        <w:rPr>
          <w:rFonts w:ascii="Times New Roman" w:hAnsi="Times New Roman"/>
        </w:rPr>
      </w:pPr>
      <w:r>
        <w:rPr>
          <w:rFonts w:ascii="Times New Roman" w:hAnsi="Times New Roman"/>
          <w:b/>
          <w:lang w:val="hr-HR"/>
        </w:rPr>
        <w:t>Članak 1.</w:t>
      </w:r>
    </w:p>
    <w:p>
      <w:pPr>
        <w:pStyle w:val="Normal"/>
        <w:jc w:val="both"/>
        <w:rPr>
          <w:rFonts w:ascii="Times New Roman" w:hAnsi="Times New Roman"/>
        </w:rPr>
      </w:pPr>
      <w:r>
        <w:rPr>
          <w:rFonts w:ascii="Times New Roman" w:hAnsi="Times New Roman"/>
          <w:lang w:val="hr-HR"/>
        </w:rPr>
        <w:tab/>
        <w:t>Ovom Odlukom propisuje se komunalni red na području Općine Negoslavci i mjere za njegovo provođenje.</w:t>
      </w:r>
    </w:p>
    <w:p>
      <w:pPr>
        <w:pStyle w:val="Normal"/>
        <w:jc w:val="both"/>
        <w:rPr>
          <w:rFonts w:ascii="Times New Roman" w:hAnsi="Times New Roman"/>
        </w:rPr>
      </w:pPr>
      <w:r>
        <w:rPr>
          <w:rFonts w:ascii="Times New Roman" w:hAnsi="Times New Roman"/>
          <w:lang w:val="hr-HR"/>
        </w:rPr>
        <w:tab/>
        <w:t>Ovom Odlukom naročito se propisuje :</w:t>
      </w:r>
    </w:p>
    <w:p>
      <w:pPr>
        <w:pStyle w:val="ListParagraph"/>
        <w:numPr>
          <w:ilvl w:val="0"/>
          <w:numId w:val="2"/>
        </w:numPr>
        <w:jc w:val="both"/>
        <w:rPr>
          <w:rFonts w:ascii="Times New Roman" w:hAnsi="Times New Roman"/>
        </w:rPr>
      </w:pPr>
      <w:r>
        <w:rPr>
          <w:rFonts w:ascii="Times New Roman" w:hAnsi="Times New Roman"/>
          <w:lang w:val="hr-HR"/>
        </w:rPr>
        <w:t>uređenje naselja,</w:t>
      </w:r>
    </w:p>
    <w:p>
      <w:pPr>
        <w:pStyle w:val="ListParagraph"/>
        <w:numPr>
          <w:ilvl w:val="0"/>
          <w:numId w:val="2"/>
        </w:numPr>
        <w:jc w:val="both"/>
        <w:rPr>
          <w:rFonts w:ascii="Times New Roman" w:hAnsi="Times New Roman"/>
        </w:rPr>
      </w:pPr>
      <w:r>
        <w:rPr>
          <w:rFonts w:ascii="Times New Roman" w:hAnsi="Times New Roman"/>
          <w:lang w:val="hr-HR"/>
        </w:rPr>
        <w:t>održavanje čistoće,</w:t>
      </w:r>
    </w:p>
    <w:p>
      <w:pPr>
        <w:pStyle w:val="ListParagraph"/>
        <w:numPr>
          <w:ilvl w:val="0"/>
          <w:numId w:val="2"/>
        </w:numPr>
        <w:jc w:val="both"/>
        <w:rPr>
          <w:rFonts w:ascii="Times New Roman" w:hAnsi="Times New Roman"/>
        </w:rPr>
      </w:pPr>
      <w:r>
        <w:rPr>
          <w:rFonts w:ascii="Times New Roman" w:hAnsi="Times New Roman"/>
          <w:lang w:val="hr-HR"/>
        </w:rPr>
        <w:t>čuvanje i korištenje javnih površina,</w:t>
      </w:r>
    </w:p>
    <w:p>
      <w:pPr>
        <w:pStyle w:val="ListParagraph"/>
        <w:numPr>
          <w:ilvl w:val="0"/>
          <w:numId w:val="2"/>
        </w:numPr>
        <w:jc w:val="both"/>
        <w:rPr>
          <w:rFonts w:ascii="Times New Roman" w:hAnsi="Times New Roman"/>
        </w:rPr>
      </w:pPr>
      <w:r>
        <w:rPr>
          <w:rFonts w:ascii="Times New Roman" w:hAnsi="Times New Roman"/>
          <w:lang w:val="hr-HR"/>
        </w:rPr>
        <w:t xml:space="preserve">skupljanje, odvoz </w:t>
      </w:r>
    </w:p>
    <w:p>
      <w:pPr>
        <w:pStyle w:val="ListParagraph"/>
        <w:numPr>
          <w:ilvl w:val="0"/>
          <w:numId w:val="2"/>
        </w:numPr>
        <w:jc w:val="both"/>
        <w:rPr>
          <w:rFonts w:ascii="Times New Roman" w:hAnsi="Times New Roman"/>
        </w:rPr>
      </w:pPr>
      <w:r>
        <w:rPr>
          <w:rFonts w:ascii="Times New Roman" w:hAnsi="Times New Roman"/>
          <w:lang w:val="hr-HR"/>
        </w:rPr>
        <w:t xml:space="preserve">i postupanje sa skupljenim komunalnim otpadom, </w:t>
      </w:r>
    </w:p>
    <w:p>
      <w:pPr>
        <w:pStyle w:val="ListParagraph"/>
        <w:numPr>
          <w:ilvl w:val="0"/>
          <w:numId w:val="2"/>
        </w:numPr>
        <w:jc w:val="both"/>
        <w:rPr>
          <w:rFonts w:ascii="Times New Roman" w:hAnsi="Times New Roman"/>
        </w:rPr>
      </w:pPr>
      <w:r>
        <w:rPr>
          <w:rFonts w:ascii="Times New Roman" w:hAnsi="Times New Roman"/>
          <w:lang w:val="hr-HR"/>
        </w:rPr>
        <w:t>uklanjanje snijega i leda,</w:t>
      </w:r>
    </w:p>
    <w:p>
      <w:pPr>
        <w:pStyle w:val="ListParagraph"/>
        <w:numPr>
          <w:ilvl w:val="0"/>
          <w:numId w:val="2"/>
        </w:numPr>
        <w:jc w:val="both"/>
        <w:rPr>
          <w:rFonts w:ascii="Times New Roman" w:hAnsi="Times New Roman"/>
        </w:rPr>
      </w:pPr>
      <w:r>
        <w:rPr>
          <w:rFonts w:ascii="Times New Roman" w:hAnsi="Times New Roman"/>
          <w:lang w:val="hr-HR"/>
        </w:rPr>
        <w:t>uklanjanje protupravno postavljenih predmeta,</w:t>
      </w:r>
    </w:p>
    <w:p>
      <w:pPr>
        <w:pStyle w:val="ListParagraph"/>
        <w:numPr>
          <w:ilvl w:val="0"/>
          <w:numId w:val="2"/>
        </w:numPr>
        <w:jc w:val="both"/>
        <w:rPr>
          <w:rFonts w:ascii="Times New Roman" w:hAnsi="Times New Roman"/>
        </w:rPr>
      </w:pPr>
      <w:r>
        <w:rPr>
          <w:rFonts w:ascii="Times New Roman" w:hAnsi="Times New Roman"/>
          <w:lang w:val="hr-HR"/>
        </w:rPr>
        <w:t>mjere za provođenje komunalnog reda,</w:t>
      </w:r>
    </w:p>
    <w:p>
      <w:pPr>
        <w:pStyle w:val="ListParagraph"/>
        <w:numPr>
          <w:ilvl w:val="0"/>
          <w:numId w:val="2"/>
        </w:numPr>
        <w:jc w:val="both"/>
        <w:rPr>
          <w:rFonts w:ascii="Times New Roman" w:hAnsi="Times New Roman"/>
        </w:rPr>
      </w:pPr>
      <w:r>
        <w:rPr>
          <w:rFonts w:ascii="Times New Roman" w:hAnsi="Times New Roman"/>
          <w:lang w:val="hr-HR"/>
        </w:rPr>
        <w:t>druga pitanja od značaja za provođenje komunalnog reda,</w:t>
      </w:r>
    </w:p>
    <w:p>
      <w:pPr>
        <w:pStyle w:val="ListParagraph"/>
        <w:numPr>
          <w:ilvl w:val="0"/>
          <w:numId w:val="2"/>
        </w:numPr>
        <w:jc w:val="both"/>
        <w:rPr>
          <w:rFonts w:ascii="Times New Roman" w:hAnsi="Times New Roman"/>
        </w:rPr>
      </w:pPr>
      <w:r>
        <w:rPr>
          <w:rFonts w:ascii="Times New Roman" w:hAnsi="Times New Roman"/>
          <w:lang w:val="hr-HR"/>
        </w:rPr>
        <w:t>kazne za prekršaje.</w:t>
      </w:r>
    </w:p>
    <w:p>
      <w:pPr>
        <w:pStyle w:val="Normal"/>
        <w:rPr>
          <w:rFonts w:ascii="Times New Roman" w:hAnsi="Times New Roman"/>
        </w:rPr>
      </w:pPr>
      <w:r>
        <w:rPr>
          <w:rFonts w:ascii="Times New Roman" w:hAnsi="Times New Roman"/>
          <w:lang w:val="hr-HR"/>
        </w:rPr>
        <w:tab/>
        <w:t>Ovom Odlukom osigurava se mogućnost korištenja površina javne namjene na način koji omogućava kretanje osoba s posebnim potrebama.</w:t>
      </w:r>
    </w:p>
    <w:p>
      <w:pPr>
        <w:pStyle w:val="Normal"/>
        <w:rPr>
          <w:rFonts w:ascii="Times New Roman" w:hAnsi="Times New Roman"/>
          <w:lang w:val="hr-HR"/>
        </w:rPr>
      </w:pPr>
      <w:r>
        <w:rPr>
          <w:rFonts w:ascii="Times New Roman" w:hAnsi="Times New Roman"/>
          <w:lang w:val="hr-HR"/>
        </w:rPr>
      </w:r>
    </w:p>
    <w:p>
      <w:pPr>
        <w:pStyle w:val="Normal"/>
        <w:jc w:val="center"/>
        <w:rPr>
          <w:rFonts w:ascii="Times New Roman" w:hAnsi="Times New Roman"/>
        </w:rPr>
      </w:pPr>
      <w:r>
        <w:rPr>
          <w:rFonts w:ascii="Times New Roman" w:hAnsi="Times New Roman"/>
          <w:b/>
          <w:lang w:val="hr-HR"/>
        </w:rPr>
        <w:t>Članak 2.</w:t>
      </w:r>
    </w:p>
    <w:p>
      <w:pPr>
        <w:pStyle w:val="Normal"/>
        <w:jc w:val="both"/>
        <w:rPr>
          <w:rFonts w:ascii="Times New Roman" w:hAnsi="Times New Roman"/>
        </w:rPr>
      </w:pPr>
      <w:r>
        <w:rPr>
          <w:rFonts w:ascii="Times New Roman" w:hAnsi="Times New Roman"/>
          <w:lang w:val="hr-HR"/>
        </w:rPr>
        <w:tab/>
      </w:r>
      <w:r>
        <w:rPr>
          <w:rFonts w:ascii="Times New Roman" w:hAnsi="Times New Roman"/>
          <w:color w:val="000000"/>
          <w:lang w:val="hr-HR"/>
        </w:rPr>
        <w:t>Fizičke i pravne osobe te drugi subjekti s područja O</w:t>
      </w:r>
      <w:r>
        <w:rPr>
          <w:rFonts w:ascii="Times New Roman" w:hAnsi="Times New Roman"/>
          <w:lang w:val="hr-HR"/>
        </w:rPr>
        <w:t>pćine kao i subjekti koji borave ili prolaze područjem Općine, obvezni su pridržavati se komunalnog reda, propisanog ovom Odlukom.</w:t>
      </w:r>
    </w:p>
    <w:p>
      <w:pPr>
        <w:pStyle w:val="Normal"/>
        <w:rPr>
          <w:rFonts w:ascii="Times New Roman" w:hAnsi="Times New Roman"/>
          <w:lang w:val="hr-HR"/>
        </w:rPr>
      </w:pPr>
      <w:r>
        <w:rPr>
          <w:rFonts w:ascii="Times New Roman" w:hAnsi="Times New Roman"/>
          <w:lang w:val="hr-HR"/>
        </w:rPr>
      </w:r>
    </w:p>
    <w:p>
      <w:pPr>
        <w:pStyle w:val="Normal"/>
        <w:jc w:val="both"/>
        <w:rPr>
          <w:rFonts w:ascii="Times New Roman" w:hAnsi="Times New Roman"/>
        </w:rPr>
      </w:pPr>
      <w:r>
        <w:rPr>
          <w:rFonts w:ascii="Times New Roman" w:hAnsi="Times New Roman"/>
          <w:b/>
          <w:lang w:val="hr-HR"/>
        </w:rPr>
        <w:t>II. POSEBNE ODREDBE</w:t>
      </w:r>
    </w:p>
    <w:p>
      <w:pPr>
        <w:pStyle w:val="ListParagraph"/>
        <w:numPr>
          <w:ilvl w:val="0"/>
          <w:numId w:val="4"/>
        </w:numPr>
        <w:rPr>
          <w:rFonts w:ascii="Times New Roman" w:hAnsi="Times New Roman"/>
        </w:rPr>
      </w:pPr>
      <w:r>
        <w:rPr>
          <w:rFonts w:ascii="Times New Roman" w:hAnsi="Times New Roman"/>
          <w:b/>
          <w:lang w:val="hr-HR"/>
        </w:rPr>
        <w:t>Uređenje naselja</w:t>
      </w:r>
    </w:p>
    <w:p>
      <w:pPr>
        <w:pStyle w:val="Normal"/>
        <w:jc w:val="center"/>
        <w:rPr>
          <w:rFonts w:ascii="Times New Roman" w:hAnsi="Times New Roman"/>
        </w:rPr>
      </w:pPr>
      <w:r>
        <w:rPr>
          <w:rFonts w:ascii="Times New Roman" w:hAnsi="Times New Roman"/>
          <w:b/>
          <w:lang w:val="hr-HR"/>
        </w:rPr>
        <w:t>Članak 3.</w:t>
      </w:r>
    </w:p>
    <w:p>
      <w:pPr>
        <w:pStyle w:val="Normal"/>
        <w:jc w:val="both"/>
        <w:rPr>
          <w:rFonts w:ascii="Times New Roman" w:hAnsi="Times New Roman"/>
        </w:rPr>
      </w:pPr>
      <w:r>
        <w:rPr>
          <w:rFonts w:ascii="Times New Roman" w:hAnsi="Times New Roman"/>
          <w:lang w:val="hr-HR"/>
        </w:rPr>
        <w:tab/>
        <w:t>Za štete i ozljede ljudi uzrokovane zbog lošeg stanja građevine odgovorni su vlasnici odnosno korisnici zgrade.</w:t>
      </w:r>
    </w:p>
    <w:p>
      <w:pPr>
        <w:pStyle w:val="Normal"/>
        <w:jc w:val="both"/>
        <w:rPr>
          <w:rFonts w:ascii="Times New Roman" w:hAnsi="Times New Roman"/>
        </w:rPr>
      </w:pPr>
      <w:r>
        <w:rPr>
          <w:rFonts w:ascii="Times New Roman" w:hAnsi="Times New Roman"/>
          <w:lang w:val="hr-HR"/>
        </w:rPr>
        <w:tab/>
        <w:t>Vlasniku odnosno korisniku zgrade, čije je pročelje fasade oštećeno tako da ugrožava prolaznike pješake i odvijanje prometa, uslijed otpadanja žbuke, cigle i drugih građevinskih elementa komunalni redar će naložiti mjere uređenja pročelja zgrade, kao i u slučajevima kada oštećena zgrada ugrožava susjeda građevine.</w:t>
      </w:r>
    </w:p>
    <w:p>
      <w:pPr>
        <w:pStyle w:val="Normal"/>
        <w:jc w:val="both"/>
        <w:rPr>
          <w:rFonts w:ascii="Times New Roman" w:hAnsi="Times New Roman"/>
        </w:rPr>
      </w:pPr>
      <w:r>
        <w:rPr>
          <w:rFonts w:ascii="Times New Roman" w:hAnsi="Times New Roman"/>
          <w:lang w:val="hr-HR"/>
        </w:rPr>
        <w:tab/>
        <w:t xml:space="preserve">Ako vlasnik odnosno korisnik zgrade ne izvrši naložene mjere iz prethodnog stavka, Općina Negoslavci može izvršiti preventivno ograđivanje javne površine u cijeloj širini pročelja zgrade kako bi se zaštitili pješaci. </w:t>
      </w:r>
    </w:p>
    <w:p>
      <w:pPr>
        <w:pStyle w:val="Normal"/>
        <w:jc w:val="both"/>
        <w:rPr>
          <w:rFonts w:ascii="Times New Roman" w:hAnsi="Times New Roman"/>
        </w:rPr>
      </w:pPr>
      <w:r>
        <w:rPr>
          <w:rFonts w:ascii="Times New Roman" w:hAnsi="Times New Roman"/>
          <w:lang w:val="hr-HR"/>
        </w:rPr>
        <w:tab/>
        <w:t>U slučaju ako vlasnik odnosno korisnik ne postupi sukladno stavku 2. ovoga članka komunalni redar će obavijestiti građevinsku inspekciju, a može podnijeti i zahtjev za pokretanje prekršajnog postupka kod Prekršajnog suda u Vukovaru.</w:t>
      </w:r>
    </w:p>
    <w:p>
      <w:pPr>
        <w:pStyle w:val="Normal"/>
        <w:jc w:val="both"/>
        <w:rPr>
          <w:rFonts w:ascii="Times New Roman" w:hAnsi="Times New Roman"/>
          <w:lang w:val="hr-HR"/>
        </w:rPr>
      </w:pPr>
      <w:r>
        <w:rPr>
          <w:rFonts w:ascii="Times New Roman" w:hAnsi="Times New Roman"/>
          <w:lang w:val="hr-HR"/>
        </w:rPr>
      </w:r>
    </w:p>
    <w:p>
      <w:pPr>
        <w:pStyle w:val="Normal"/>
        <w:jc w:val="center"/>
        <w:rPr>
          <w:rFonts w:ascii="Times New Roman" w:hAnsi="Times New Roman"/>
        </w:rPr>
      </w:pPr>
      <w:r>
        <w:rPr>
          <w:rFonts w:ascii="Times New Roman" w:hAnsi="Times New Roman"/>
          <w:b/>
          <w:lang w:val="hr-HR"/>
        </w:rPr>
        <w:t>Članak 4.</w:t>
      </w:r>
    </w:p>
    <w:p>
      <w:pPr>
        <w:pStyle w:val="NoSpacing"/>
        <w:jc w:val="both"/>
        <w:rPr>
          <w:rFonts w:ascii="Times New Roman" w:hAnsi="Times New Roman"/>
        </w:rPr>
      </w:pPr>
      <w:r>
        <w:rPr>
          <w:rFonts w:cs="Times New Roman" w:ascii="Times New Roman" w:hAnsi="Times New Roman"/>
          <w:sz w:val="24"/>
        </w:rPr>
        <w:tab/>
        <w:t xml:space="preserve">Zabranjeno je pisati grafite, poruke i slično te na drugi način uništavati vanjske dijelove zgrade. </w:t>
      </w:r>
    </w:p>
    <w:p>
      <w:pPr>
        <w:pStyle w:val="NoSpacing"/>
        <w:jc w:val="both"/>
        <w:rPr>
          <w:rFonts w:ascii="Times New Roman" w:hAnsi="Times New Roman" w:cs="Times New Roman"/>
          <w:sz w:val="24"/>
        </w:rPr>
      </w:pPr>
      <w:r>
        <w:rPr>
          <w:rFonts w:cs="Times New Roman" w:ascii="Times New Roman" w:hAnsi="Times New Roman"/>
          <w:sz w:val="24"/>
        </w:rPr>
      </w:r>
    </w:p>
    <w:p>
      <w:pPr>
        <w:pStyle w:val="Normal"/>
        <w:jc w:val="center"/>
        <w:rPr>
          <w:rFonts w:ascii="Times New Roman" w:hAnsi="Times New Roman"/>
        </w:rPr>
      </w:pPr>
      <w:r>
        <w:rPr>
          <w:rFonts w:ascii="Times New Roman" w:hAnsi="Times New Roman"/>
          <w:b/>
          <w:lang w:val="hr-HR"/>
        </w:rPr>
        <w:t>Članak 5.</w:t>
      </w:r>
    </w:p>
    <w:p>
      <w:pPr>
        <w:pStyle w:val="Normal"/>
        <w:jc w:val="both"/>
        <w:rPr>
          <w:rFonts w:ascii="Times New Roman" w:hAnsi="Times New Roman"/>
        </w:rPr>
      </w:pPr>
      <w:r>
        <w:rPr>
          <w:rFonts w:ascii="Times New Roman" w:hAnsi="Times New Roman"/>
          <w:b/>
          <w:lang w:val="hr-HR"/>
        </w:rPr>
        <w:tab/>
      </w:r>
      <w:r>
        <w:rPr>
          <w:rFonts w:ascii="Times New Roman" w:hAnsi="Times New Roman"/>
          <w:lang w:val="hr-HR"/>
        </w:rPr>
        <w:t>Zabranjeno je svako podizanje ćuprije vlasnika ili korisnika zgrade (betoniranje ili na drugi način) bez odobrenja komunalnog redara.</w:t>
      </w:r>
    </w:p>
    <w:p>
      <w:pPr>
        <w:pStyle w:val="Normal"/>
        <w:jc w:val="both"/>
        <w:rPr>
          <w:rFonts w:ascii="Times New Roman" w:hAnsi="Times New Roman"/>
        </w:rPr>
      </w:pPr>
      <w:r>
        <w:rPr>
          <w:rFonts w:ascii="Times New Roman" w:hAnsi="Times New Roman"/>
          <w:lang w:val="hr-HR"/>
        </w:rPr>
        <w:tab/>
        <w:t>Ako je vlasnik ili korisnik zgrade bez odobrenja komunalnog redara podigao ćupriju ili ju je podigao tako da se voda sliva u susjedovo dvorište kaznit će se sukladno članku 46. i 47. ove Odluke.</w:t>
      </w:r>
    </w:p>
    <w:p>
      <w:pPr>
        <w:pStyle w:val="Normal"/>
        <w:jc w:val="center"/>
        <w:rPr>
          <w:rFonts w:ascii="Times New Roman" w:hAnsi="Times New Roman"/>
          <w:b/>
          <w:b/>
          <w:lang w:val="hr-HR"/>
        </w:rPr>
      </w:pPr>
      <w:r>
        <w:rPr>
          <w:rFonts w:ascii="Times New Roman" w:hAnsi="Times New Roman"/>
          <w:b/>
          <w:lang w:val="hr-HR"/>
        </w:rPr>
      </w:r>
    </w:p>
    <w:p>
      <w:pPr>
        <w:pStyle w:val="Normal"/>
        <w:jc w:val="center"/>
        <w:rPr>
          <w:rFonts w:ascii="Times New Roman" w:hAnsi="Times New Roman"/>
        </w:rPr>
      </w:pPr>
      <w:r>
        <w:rPr>
          <w:rFonts w:ascii="Times New Roman" w:hAnsi="Times New Roman"/>
          <w:b/>
          <w:lang w:val="hr-HR"/>
        </w:rPr>
        <w:t>Članak 6.</w:t>
      </w:r>
    </w:p>
    <w:p>
      <w:pPr>
        <w:pStyle w:val="Normal"/>
        <w:jc w:val="both"/>
        <w:rPr>
          <w:rFonts w:ascii="Times New Roman" w:hAnsi="Times New Roman"/>
        </w:rPr>
      </w:pPr>
      <w:r>
        <w:rPr>
          <w:rFonts w:ascii="Times New Roman" w:hAnsi="Times New Roman"/>
          <w:lang w:val="hr-HR"/>
        </w:rPr>
        <w:tab/>
        <w:t>Plakati i oglasi se mogu postavljati na oglasnoj ploči, stupovima i drugim mjestima.</w:t>
      </w:r>
    </w:p>
    <w:p>
      <w:pPr>
        <w:pStyle w:val="Normal"/>
        <w:jc w:val="both"/>
        <w:rPr>
          <w:rFonts w:ascii="Times New Roman" w:hAnsi="Times New Roman"/>
        </w:rPr>
      </w:pPr>
      <w:r>
        <w:rPr>
          <w:rFonts w:ascii="Times New Roman" w:hAnsi="Times New Roman"/>
          <w:lang w:val="hr-HR"/>
        </w:rPr>
        <w:tab/>
        <w:t>Uredno istaknute plakate i oglase je zabranjeno prljati, oštećivati i uništavati.</w:t>
      </w:r>
    </w:p>
    <w:p>
      <w:pPr>
        <w:pStyle w:val="Normal"/>
        <w:jc w:val="both"/>
        <w:rPr>
          <w:rFonts w:ascii="Times New Roman" w:hAnsi="Times New Roman"/>
          <w:lang w:val="hr-HR"/>
        </w:rPr>
      </w:pPr>
      <w:r>
        <w:rPr>
          <w:rFonts w:ascii="Times New Roman" w:hAnsi="Times New Roman"/>
          <w:lang w:val="hr-HR"/>
        </w:rPr>
      </w:r>
    </w:p>
    <w:p>
      <w:pPr>
        <w:pStyle w:val="ListParagraph"/>
        <w:numPr>
          <w:ilvl w:val="0"/>
          <w:numId w:val="4"/>
        </w:numPr>
        <w:jc w:val="both"/>
        <w:rPr>
          <w:rFonts w:ascii="Times New Roman" w:hAnsi="Times New Roman"/>
        </w:rPr>
      </w:pPr>
      <w:r>
        <w:rPr>
          <w:rFonts w:ascii="Times New Roman" w:hAnsi="Times New Roman"/>
          <w:b/>
          <w:lang w:val="hr-HR"/>
        </w:rPr>
        <w:t>Čišćenje javnih površina</w:t>
      </w:r>
    </w:p>
    <w:p>
      <w:pPr>
        <w:pStyle w:val="Normal"/>
        <w:jc w:val="center"/>
        <w:rPr>
          <w:rFonts w:ascii="Times New Roman" w:hAnsi="Times New Roman"/>
        </w:rPr>
      </w:pPr>
      <w:r>
        <w:rPr>
          <w:rFonts w:ascii="Times New Roman" w:hAnsi="Times New Roman"/>
          <w:b/>
          <w:lang w:val="hr-HR"/>
        </w:rPr>
        <w:t>Članak 7.</w:t>
      </w:r>
    </w:p>
    <w:p>
      <w:pPr>
        <w:pStyle w:val="Normal"/>
        <w:jc w:val="both"/>
        <w:rPr>
          <w:rFonts w:ascii="Times New Roman" w:hAnsi="Times New Roman"/>
        </w:rPr>
      </w:pPr>
      <w:r>
        <w:rPr>
          <w:rFonts w:ascii="Times New Roman" w:hAnsi="Times New Roman"/>
          <w:lang w:val="hr-HR"/>
        </w:rPr>
        <w:tab/>
        <w:t>Javnim površinama u smislu ove Odluke, smatraju se:</w:t>
      </w:r>
    </w:p>
    <w:p>
      <w:pPr>
        <w:pStyle w:val="ListParagraph"/>
        <w:numPr>
          <w:ilvl w:val="0"/>
          <w:numId w:val="3"/>
        </w:numPr>
        <w:jc w:val="both"/>
        <w:rPr>
          <w:rFonts w:ascii="Times New Roman" w:hAnsi="Times New Roman"/>
        </w:rPr>
      </w:pPr>
      <w:r>
        <w:rPr>
          <w:rFonts w:ascii="Times New Roman" w:hAnsi="Times New Roman"/>
          <w:lang w:val="hr-HR"/>
        </w:rPr>
        <w:t>javne prometne površine, (ceste, ulice, pješačke staze, kanali površinske odvodnje, prilazi i parkirališta),</w:t>
      </w:r>
    </w:p>
    <w:p>
      <w:pPr>
        <w:pStyle w:val="ListParagraph"/>
        <w:numPr>
          <w:ilvl w:val="0"/>
          <w:numId w:val="3"/>
        </w:numPr>
        <w:jc w:val="both"/>
        <w:rPr>
          <w:rFonts w:ascii="Times New Roman" w:hAnsi="Times New Roman"/>
        </w:rPr>
      </w:pPr>
      <w:r>
        <w:rPr>
          <w:rFonts w:ascii="Times New Roman" w:hAnsi="Times New Roman"/>
          <w:lang w:val="hr-HR"/>
        </w:rPr>
        <w:t>javne zelene površine (drvoredi, travnjaci, dječja igrališta, groblja i drugi uređeni prostori na javnim površinama),</w:t>
      </w:r>
    </w:p>
    <w:p>
      <w:pPr>
        <w:pStyle w:val="ListParagraph"/>
        <w:numPr>
          <w:ilvl w:val="0"/>
          <w:numId w:val="3"/>
        </w:numPr>
        <w:jc w:val="both"/>
        <w:rPr>
          <w:rFonts w:ascii="Times New Roman" w:hAnsi="Times New Roman"/>
        </w:rPr>
      </w:pPr>
      <w:r>
        <w:rPr>
          <w:rFonts w:ascii="Times New Roman" w:hAnsi="Times New Roman"/>
          <w:lang w:val="hr-HR"/>
        </w:rPr>
        <w:t>ostale javne površine (autobusna stajališta, benzinske pumpe, otvoreni prijelazni prostor između i oko zgrada i sl.).</w:t>
      </w:r>
    </w:p>
    <w:p>
      <w:pPr>
        <w:pStyle w:val="Normal"/>
        <w:jc w:val="both"/>
        <w:rPr>
          <w:rFonts w:ascii="Times New Roman" w:hAnsi="Times New Roman"/>
          <w:b/>
          <w:b/>
          <w:lang w:val="hr-HR"/>
        </w:rPr>
      </w:pPr>
      <w:r>
        <w:rPr>
          <w:rFonts w:ascii="Times New Roman" w:hAnsi="Times New Roman"/>
          <w:b/>
          <w:lang w:val="hr-HR"/>
        </w:rPr>
      </w:r>
    </w:p>
    <w:p>
      <w:pPr>
        <w:pStyle w:val="Normal"/>
        <w:jc w:val="center"/>
        <w:rPr>
          <w:rFonts w:ascii="Times New Roman" w:hAnsi="Times New Roman"/>
        </w:rPr>
      </w:pPr>
      <w:r>
        <w:rPr>
          <w:rFonts w:ascii="Times New Roman" w:hAnsi="Times New Roman"/>
          <w:b/>
          <w:lang w:val="hr-HR"/>
        </w:rPr>
        <w:t>Članak 8.</w:t>
      </w:r>
    </w:p>
    <w:p>
      <w:pPr>
        <w:pStyle w:val="Normal"/>
        <w:jc w:val="both"/>
        <w:rPr>
          <w:rFonts w:ascii="Times New Roman" w:hAnsi="Times New Roman"/>
        </w:rPr>
      </w:pPr>
      <w:r>
        <w:rPr>
          <w:rFonts w:ascii="Times New Roman" w:hAnsi="Times New Roman"/>
          <w:lang w:val="hr-HR"/>
        </w:rPr>
        <w:tab/>
        <w:t>Čišćenje javnih površina obuhvaća naročito: uklanjanje blata i prašine, sakupljanje i uklanjanje smeća, otpadaka i svake druge nečistoće, pranje javnih površina te košenje i održavanje zelenih površina.</w:t>
      </w:r>
    </w:p>
    <w:p>
      <w:pPr>
        <w:pStyle w:val="Normal"/>
        <w:jc w:val="both"/>
        <w:rPr>
          <w:rFonts w:ascii="Times New Roman" w:hAnsi="Times New Roman"/>
          <w:b/>
          <w:b/>
          <w:lang w:val="hr-HR"/>
        </w:rPr>
      </w:pPr>
      <w:r>
        <w:rPr>
          <w:rFonts w:ascii="Times New Roman" w:hAnsi="Times New Roman"/>
          <w:b/>
          <w:lang w:val="hr-HR"/>
        </w:rPr>
      </w:r>
    </w:p>
    <w:p>
      <w:pPr>
        <w:pStyle w:val="Normal"/>
        <w:jc w:val="center"/>
        <w:rPr>
          <w:rFonts w:ascii="Times New Roman" w:hAnsi="Times New Roman"/>
        </w:rPr>
      </w:pPr>
      <w:r>
        <w:rPr>
          <w:rFonts w:ascii="Times New Roman" w:hAnsi="Times New Roman"/>
          <w:b/>
          <w:lang w:val="hr-HR"/>
        </w:rPr>
        <w:t>Članak 9.</w:t>
      </w:r>
    </w:p>
    <w:p>
      <w:pPr>
        <w:pStyle w:val="Normal"/>
        <w:jc w:val="both"/>
        <w:rPr>
          <w:rFonts w:ascii="Times New Roman" w:hAnsi="Times New Roman"/>
        </w:rPr>
      </w:pPr>
      <w:r>
        <w:rPr>
          <w:rFonts w:ascii="Times New Roman" w:hAnsi="Times New Roman"/>
          <w:lang w:val="hr-HR"/>
        </w:rPr>
        <w:tab/>
        <w:t>Javne površine iz članka 7. ove Odluke čiste i održavaju:</w:t>
      </w:r>
    </w:p>
    <w:p>
      <w:pPr>
        <w:pStyle w:val="ListParagraph"/>
        <w:numPr>
          <w:ilvl w:val="0"/>
          <w:numId w:val="3"/>
        </w:numPr>
        <w:jc w:val="both"/>
        <w:rPr>
          <w:rFonts w:ascii="Times New Roman" w:hAnsi="Times New Roman"/>
        </w:rPr>
      </w:pPr>
      <w:r>
        <w:rPr>
          <w:rFonts w:ascii="Times New Roman" w:hAnsi="Times New Roman"/>
          <w:lang w:val="hr-HR"/>
        </w:rPr>
        <w:t>pješačke staze, kanale i zelene površine uz ceste, prostor ispred i oko stambenih, poslovnih i drugih objekata – vlasnici, odnosno korisnici tih objekata o svom trošku, i to u dužini objekta kojeg koriste,</w:t>
      </w:r>
    </w:p>
    <w:p>
      <w:pPr>
        <w:pStyle w:val="ListParagraph"/>
        <w:numPr>
          <w:ilvl w:val="0"/>
          <w:numId w:val="3"/>
        </w:numPr>
        <w:jc w:val="both"/>
        <w:rPr>
          <w:rFonts w:ascii="Times New Roman" w:hAnsi="Times New Roman"/>
        </w:rPr>
      </w:pPr>
      <w:r>
        <w:rPr>
          <w:rFonts w:ascii="Times New Roman" w:hAnsi="Times New Roman"/>
          <w:lang w:val="hr-HR"/>
        </w:rPr>
        <w:t>drvorede, travnjake, dječja igrališta, groblja, nerazvrstane ceste – Općina,</w:t>
      </w:r>
    </w:p>
    <w:p>
      <w:pPr>
        <w:pStyle w:val="ListParagraph"/>
        <w:numPr>
          <w:ilvl w:val="0"/>
          <w:numId w:val="3"/>
        </w:numPr>
        <w:jc w:val="both"/>
        <w:rPr>
          <w:rFonts w:ascii="Times New Roman" w:hAnsi="Times New Roman"/>
        </w:rPr>
      </w:pPr>
      <w:r>
        <w:rPr>
          <w:rFonts w:ascii="Times New Roman" w:hAnsi="Times New Roman"/>
          <w:lang w:val="hr-HR"/>
        </w:rPr>
        <w:t>autobusna stajališta, benzinske pumpe i sl. – pravne osobe koje gospodare ovim objektima.</w:t>
      </w:r>
    </w:p>
    <w:p>
      <w:pPr>
        <w:pStyle w:val="Normal"/>
        <w:rPr>
          <w:rFonts w:ascii="Times New Roman" w:hAnsi="Times New Roman"/>
          <w:lang w:val="hr-HR"/>
        </w:rPr>
      </w:pPr>
      <w:r>
        <w:rPr>
          <w:rFonts w:ascii="Times New Roman" w:hAnsi="Times New Roman"/>
          <w:lang w:val="hr-HR"/>
        </w:rPr>
      </w:r>
    </w:p>
    <w:p>
      <w:pPr>
        <w:pStyle w:val="Normal"/>
        <w:jc w:val="center"/>
        <w:rPr>
          <w:rFonts w:ascii="Times New Roman" w:hAnsi="Times New Roman"/>
        </w:rPr>
      </w:pPr>
      <w:r>
        <w:rPr>
          <w:rFonts w:ascii="Times New Roman" w:hAnsi="Times New Roman"/>
          <w:b/>
          <w:lang w:val="hr-HR"/>
        </w:rPr>
        <w:t>Članak 10.</w:t>
      </w:r>
    </w:p>
    <w:p>
      <w:pPr>
        <w:pStyle w:val="Normal"/>
        <w:jc w:val="both"/>
        <w:rPr>
          <w:rFonts w:ascii="Times New Roman" w:hAnsi="Times New Roman"/>
        </w:rPr>
      </w:pPr>
      <w:r>
        <w:rPr>
          <w:rFonts w:ascii="Times New Roman" w:hAnsi="Times New Roman"/>
          <w:lang w:val="hr-HR"/>
        </w:rPr>
        <w:tab/>
        <w:t>Način održavanja čistoće ostalih javnih površina utvrdiće Općinski načelnik aktom.</w:t>
      </w:r>
    </w:p>
    <w:p>
      <w:pPr>
        <w:pStyle w:val="Normal"/>
        <w:rPr>
          <w:rFonts w:ascii="Times New Roman" w:hAnsi="Times New Roman"/>
          <w:lang w:val="hr-HR"/>
        </w:rPr>
      </w:pPr>
      <w:r>
        <w:rPr>
          <w:rFonts w:ascii="Times New Roman" w:hAnsi="Times New Roman"/>
          <w:lang w:val="hr-HR"/>
        </w:rPr>
      </w:r>
    </w:p>
    <w:p>
      <w:pPr>
        <w:pStyle w:val="Normal"/>
        <w:jc w:val="center"/>
        <w:rPr>
          <w:rFonts w:ascii="Times New Roman" w:hAnsi="Times New Roman"/>
        </w:rPr>
      </w:pPr>
      <w:r>
        <w:rPr>
          <w:rFonts w:ascii="Times New Roman" w:hAnsi="Times New Roman"/>
          <w:b/>
          <w:lang w:val="hr-HR"/>
        </w:rPr>
        <w:t>Članak 11.</w:t>
      </w:r>
    </w:p>
    <w:p>
      <w:pPr>
        <w:pStyle w:val="Normal"/>
        <w:jc w:val="both"/>
        <w:rPr>
          <w:rFonts w:ascii="Times New Roman" w:hAnsi="Times New Roman"/>
        </w:rPr>
      </w:pPr>
      <w:r>
        <w:rPr>
          <w:rFonts w:ascii="Times New Roman" w:hAnsi="Times New Roman"/>
          <w:lang w:val="hr-HR"/>
        </w:rPr>
        <w:tab/>
        <w:t>Zelene površine i rastinje blizu stambenih, poslovnih i drugih objekata moraju se održavati tako da ne ometaju stanovanje.</w:t>
      </w:r>
    </w:p>
    <w:p>
      <w:pPr>
        <w:pStyle w:val="Normal"/>
        <w:jc w:val="both"/>
        <w:rPr>
          <w:rFonts w:ascii="Times New Roman" w:hAnsi="Times New Roman"/>
        </w:rPr>
      </w:pPr>
      <w:r>
        <w:rPr>
          <w:rFonts w:ascii="Times New Roman" w:hAnsi="Times New Roman"/>
          <w:lang w:val="hr-HR"/>
        </w:rPr>
        <w:tab/>
        <w:t>Grane drveća ne smiju smetati javnoj rasvjeti i preglednosti u javnom prometu.</w:t>
      </w:r>
    </w:p>
    <w:p>
      <w:pPr>
        <w:pStyle w:val="Normal"/>
        <w:jc w:val="both"/>
        <w:rPr>
          <w:rFonts w:ascii="Times New Roman" w:hAnsi="Times New Roman"/>
        </w:rPr>
      </w:pPr>
      <w:r>
        <w:rPr>
          <w:rFonts w:ascii="Times New Roman" w:hAnsi="Times New Roman"/>
          <w:lang w:val="hr-HR"/>
        </w:rPr>
        <w:tab/>
        <w:t>Drveće na zelenim površinama mora se redovito njegovati, uklanjati posušena stabla te odstranjivati suhe i bolesne grane.</w:t>
      </w:r>
    </w:p>
    <w:p>
      <w:pPr>
        <w:pStyle w:val="Normal"/>
        <w:rPr>
          <w:rFonts w:ascii="Times New Roman" w:hAnsi="Times New Roman"/>
          <w:lang w:val="hr-HR"/>
        </w:rPr>
      </w:pPr>
      <w:r>
        <w:rPr>
          <w:rFonts w:ascii="Times New Roman" w:hAnsi="Times New Roman"/>
          <w:lang w:val="hr-HR"/>
        </w:rPr>
      </w:r>
    </w:p>
    <w:p>
      <w:pPr>
        <w:pStyle w:val="Normal"/>
        <w:jc w:val="center"/>
        <w:rPr>
          <w:rFonts w:ascii="Times New Roman" w:hAnsi="Times New Roman"/>
        </w:rPr>
      </w:pPr>
      <w:r>
        <w:rPr>
          <w:rFonts w:ascii="Times New Roman" w:hAnsi="Times New Roman"/>
          <w:b/>
          <w:lang w:val="hr-HR"/>
        </w:rPr>
        <w:t>Članak 12.</w:t>
      </w:r>
    </w:p>
    <w:p>
      <w:pPr>
        <w:pStyle w:val="Normal"/>
        <w:jc w:val="both"/>
        <w:rPr>
          <w:rFonts w:ascii="Times New Roman" w:hAnsi="Times New Roman"/>
        </w:rPr>
      </w:pPr>
      <w:r>
        <w:rPr>
          <w:rFonts w:ascii="Times New Roman" w:hAnsi="Times New Roman"/>
          <w:lang w:val="hr-HR"/>
        </w:rPr>
        <w:tab/>
        <w:t>Drveće i grane koje smetaju zračnim vodovima u javnoj rasvjeti te vidljivosti u javnom prometu uklanjaju se na stručan način.</w:t>
      </w:r>
    </w:p>
    <w:p>
      <w:pPr>
        <w:pStyle w:val="Normal"/>
        <w:rPr>
          <w:rFonts w:ascii="Times New Roman" w:hAnsi="Times New Roman"/>
          <w:lang w:val="hr-HR"/>
        </w:rPr>
      </w:pPr>
      <w:r>
        <w:rPr>
          <w:rFonts w:ascii="Times New Roman" w:hAnsi="Times New Roman"/>
          <w:lang w:val="hr-HR"/>
        </w:rPr>
      </w:r>
    </w:p>
    <w:p>
      <w:pPr>
        <w:pStyle w:val="Normal"/>
        <w:jc w:val="center"/>
        <w:rPr>
          <w:rFonts w:ascii="Times New Roman" w:hAnsi="Times New Roman"/>
        </w:rPr>
      </w:pPr>
      <w:r>
        <w:rPr>
          <w:rFonts w:ascii="Times New Roman" w:hAnsi="Times New Roman"/>
          <w:b/>
          <w:lang w:val="hr-HR"/>
        </w:rPr>
        <w:t>Članak 13.</w:t>
      </w:r>
    </w:p>
    <w:p>
      <w:pPr>
        <w:pStyle w:val="Normal"/>
        <w:jc w:val="both"/>
        <w:rPr>
          <w:rFonts w:ascii="Times New Roman" w:hAnsi="Times New Roman"/>
        </w:rPr>
      </w:pPr>
      <w:r>
        <w:rPr>
          <w:rFonts w:ascii="Times New Roman" w:hAnsi="Times New Roman"/>
          <w:lang w:val="hr-HR"/>
        </w:rPr>
        <w:tab/>
        <w:t>Čišćenje javnih površina obavlja se svaki dan, a po potrebi i više puta na dan.</w:t>
      </w:r>
    </w:p>
    <w:p>
      <w:pPr>
        <w:pStyle w:val="Normal"/>
        <w:jc w:val="both"/>
        <w:rPr>
          <w:rFonts w:ascii="Times New Roman" w:hAnsi="Times New Roman"/>
          <w:lang w:val="hr-HR"/>
        </w:rPr>
      </w:pPr>
      <w:r>
        <w:rPr>
          <w:rFonts w:ascii="Times New Roman" w:hAnsi="Times New Roman"/>
          <w:lang w:val="hr-HR"/>
        </w:rPr>
      </w:r>
    </w:p>
    <w:p>
      <w:pPr>
        <w:pStyle w:val="Normal"/>
        <w:jc w:val="center"/>
        <w:rPr>
          <w:rFonts w:ascii="Times New Roman" w:hAnsi="Times New Roman"/>
        </w:rPr>
      </w:pPr>
      <w:r>
        <w:rPr>
          <w:rFonts w:ascii="Times New Roman" w:hAnsi="Times New Roman"/>
          <w:b/>
          <w:lang w:val="hr-HR"/>
        </w:rPr>
        <w:t>Članak 14.</w:t>
      </w:r>
    </w:p>
    <w:p>
      <w:pPr>
        <w:pStyle w:val="Normal"/>
        <w:jc w:val="both"/>
        <w:rPr>
          <w:rFonts w:ascii="Times New Roman" w:hAnsi="Times New Roman"/>
        </w:rPr>
      </w:pPr>
      <w:r>
        <w:rPr>
          <w:rFonts w:ascii="Times New Roman" w:hAnsi="Times New Roman"/>
          <w:lang w:val="hr-HR"/>
        </w:rPr>
        <w:tab/>
        <w:t>Korisnicima javnih površina zabranjeno je:</w:t>
      </w:r>
    </w:p>
    <w:p>
      <w:pPr>
        <w:pStyle w:val="ListParagraph"/>
        <w:numPr>
          <w:ilvl w:val="0"/>
          <w:numId w:val="3"/>
        </w:numPr>
        <w:jc w:val="both"/>
        <w:rPr>
          <w:rFonts w:ascii="Times New Roman" w:hAnsi="Times New Roman"/>
        </w:rPr>
      </w:pPr>
      <w:r>
        <w:rPr>
          <w:rFonts w:ascii="Times New Roman" w:hAnsi="Times New Roman"/>
          <w:lang w:val="hr-HR"/>
        </w:rPr>
        <w:t>odlaganje smeća ili na bilo koji drugi način stvaranje nečistoće na javnim površinama,</w:t>
      </w:r>
    </w:p>
    <w:p>
      <w:pPr>
        <w:pStyle w:val="ListParagraph"/>
        <w:numPr>
          <w:ilvl w:val="0"/>
          <w:numId w:val="3"/>
        </w:numPr>
        <w:jc w:val="both"/>
        <w:rPr>
          <w:rFonts w:ascii="Times New Roman" w:hAnsi="Times New Roman"/>
        </w:rPr>
      </w:pPr>
      <w:r>
        <w:rPr>
          <w:rFonts w:ascii="Times New Roman" w:hAnsi="Times New Roman"/>
          <w:lang w:val="hr-HR"/>
        </w:rPr>
        <w:t>šaranje ili pisanje po zidovima stambenih, poslovnih i drugih objekata,</w:t>
      </w:r>
    </w:p>
    <w:p>
      <w:pPr>
        <w:pStyle w:val="ListParagraph"/>
        <w:numPr>
          <w:ilvl w:val="0"/>
          <w:numId w:val="3"/>
        </w:numPr>
        <w:jc w:val="both"/>
        <w:rPr>
          <w:rFonts w:ascii="Times New Roman" w:hAnsi="Times New Roman"/>
        </w:rPr>
      </w:pPr>
      <w:r>
        <w:rPr>
          <w:rFonts w:ascii="Times New Roman" w:hAnsi="Times New Roman"/>
          <w:lang w:val="hr-HR"/>
        </w:rPr>
        <w:t>puštanje stoke na ispašu na javnim zelenim površinama,</w:t>
      </w:r>
    </w:p>
    <w:p>
      <w:pPr>
        <w:pStyle w:val="ListParagraph"/>
        <w:numPr>
          <w:ilvl w:val="0"/>
          <w:numId w:val="3"/>
        </w:numPr>
        <w:jc w:val="both"/>
        <w:rPr>
          <w:rFonts w:ascii="Times New Roman" w:hAnsi="Times New Roman"/>
        </w:rPr>
      </w:pPr>
      <w:r>
        <w:rPr>
          <w:rFonts w:ascii="Times New Roman" w:hAnsi="Times New Roman"/>
          <w:lang w:val="hr-HR"/>
        </w:rPr>
        <w:t>loženje vatre, paljenje lišća i bilo koje vrste otpada,</w:t>
      </w:r>
    </w:p>
    <w:p>
      <w:pPr>
        <w:pStyle w:val="ListParagraph"/>
        <w:numPr>
          <w:ilvl w:val="0"/>
          <w:numId w:val="3"/>
        </w:numPr>
        <w:jc w:val="both"/>
        <w:rPr>
          <w:rFonts w:ascii="Times New Roman" w:hAnsi="Times New Roman"/>
        </w:rPr>
      </w:pPr>
      <w:r>
        <w:rPr>
          <w:rFonts w:ascii="Times New Roman" w:hAnsi="Times New Roman"/>
          <w:lang w:val="hr-HR"/>
        </w:rPr>
        <w:t>ispuštanje zagađene vode u kanale oborinske vode,</w:t>
      </w:r>
    </w:p>
    <w:p>
      <w:pPr>
        <w:pStyle w:val="ListParagraph"/>
        <w:numPr>
          <w:ilvl w:val="0"/>
          <w:numId w:val="3"/>
        </w:numPr>
        <w:jc w:val="both"/>
        <w:rPr>
          <w:rFonts w:ascii="Times New Roman" w:hAnsi="Times New Roman"/>
        </w:rPr>
      </w:pPr>
      <w:r>
        <w:rPr>
          <w:rFonts w:ascii="Times New Roman" w:hAnsi="Times New Roman"/>
          <w:lang w:val="hr-HR"/>
        </w:rPr>
        <w:t>gađanje životinja i meta vatrenim oružjem i slično,</w:t>
      </w:r>
    </w:p>
    <w:p>
      <w:pPr>
        <w:pStyle w:val="ListParagraph"/>
        <w:numPr>
          <w:ilvl w:val="0"/>
          <w:numId w:val="3"/>
        </w:numPr>
        <w:jc w:val="both"/>
        <w:rPr>
          <w:rFonts w:ascii="Times New Roman" w:hAnsi="Times New Roman"/>
        </w:rPr>
      </w:pPr>
      <w:r>
        <w:rPr>
          <w:rFonts w:ascii="Times New Roman" w:hAnsi="Times New Roman"/>
          <w:lang w:val="hr-HR"/>
        </w:rPr>
        <w:t>oštećivanje nasada na javnim površinama,</w:t>
      </w:r>
    </w:p>
    <w:p>
      <w:pPr>
        <w:pStyle w:val="ListParagraph"/>
        <w:numPr>
          <w:ilvl w:val="0"/>
          <w:numId w:val="3"/>
        </w:numPr>
        <w:jc w:val="both"/>
        <w:rPr>
          <w:rFonts w:ascii="Times New Roman" w:hAnsi="Times New Roman"/>
        </w:rPr>
      </w:pPr>
      <w:r>
        <w:rPr>
          <w:rFonts w:ascii="Times New Roman" w:hAnsi="Times New Roman"/>
          <w:lang w:val="hr-HR"/>
        </w:rPr>
        <w:t>oštećivanje košara i posuda za otpad,</w:t>
      </w:r>
    </w:p>
    <w:p>
      <w:pPr>
        <w:pStyle w:val="ListParagraph"/>
        <w:numPr>
          <w:ilvl w:val="0"/>
          <w:numId w:val="3"/>
        </w:numPr>
        <w:jc w:val="both"/>
        <w:rPr>
          <w:rFonts w:ascii="Times New Roman" w:hAnsi="Times New Roman"/>
        </w:rPr>
      </w:pPr>
      <w:r>
        <w:rPr>
          <w:rFonts w:ascii="Times New Roman" w:hAnsi="Times New Roman"/>
          <w:lang w:val="hr-HR"/>
        </w:rPr>
        <w:t>šaranje po tuđem zidu bez odobrenja vlasnika te šaranje po stadionu, ljetnjoj pozornici i tome slično,</w:t>
      </w:r>
    </w:p>
    <w:p>
      <w:pPr>
        <w:pStyle w:val="ListParagraph"/>
        <w:numPr>
          <w:ilvl w:val="0"/>
          <w:numId w:val="3"/>
        </w:numPr>
        <w:jc w:val="both"/>
        <w:rPr>
          <w:rFonts w:ascii="Times New Roman" w:hAnsi="Times New Roman"/>
        </w:rPr>
      </w:pPr>
      <w:r>
        <w:rPr>
          <w:rFonts w:ascii="Times New Roman" w:hAnsi="Times New Roman"/>
          <w:lang w:val="hr-HR"/>
        </w:rPr>
        <w:t>paljenje otpada,</w:t>
      </w:r>
    </w:p>
    <w:p>
      <w:pPr>
        <w:pStyle w:val="ListParagraph"/>
        <w:numPr>
          <w:ilvl w:val="0"/>
          <w:numId w:val="3"/>
        </w:numPr>
        <w:jc w:val="both"/>
        <w:rPr>
          <w:rFonts w:ascii="Times New Roman" w:hAnsi="Times New Roman"/>
        </w:rPr>
      </w:pPr>
      <w:r>
        <w:rPr>
          <w:rFonts w:ascii="Times New Roman" w:hAnsi="Times New Roman"/>
          <w:lang w:val="hr-HR"/>
        </w:rPr>
        <w:t>parkiranje motornih vozila i priključne mehanizacije na javnim površinama opće namjene i pješačkim stazama te vožnja istim,</w:t>
      </w:r>
    </w:p>
    <w:p>
      <w:pPr>
        <w:pStyle w:val="ListParagraph"/>
        <w:numPr>
          <w:ilvl w:val="0"/>
          <w:numId w:val="3"/>
        </w:numPr>
        <w:jc w:val="both"/>
        <w:rPr>
          <w:rFonts w:ascii="Times New Roman" w:hAnsi="Times New Roman"/>
        </w:rPr>
      </w:pPr>
      <w:r>
        <w:rPr>
          <w:rFonts w:ascii="Times New Roman" w:hAnsi="Times New Roman"/>
          <w:lang w:val="hr-HR"/>
        </w:rPr>
        <w:t>uklanjanje ukrasnog drveća (borovi, jele, čempresi, tuje i slično) s javnih površina, bez prethodnog odobrenja Općinskog načelnika,</w:t>
      </w:r>
    </w:p>
    <w:p>
      <w:pPr>
        <w:pStyle w:val="ListParagraph"/>
        <w:numPr>
          <w:ilvl w:val="0"/>
          <w:numId w:val="3"/>
        </w:numPr>
        <w:jc w:val="both"/>
        <w:rPr>
          <w:rFonts w:ascii="Times New Roman" w:hAnsi="Times New Roman"/>
        </w:rPr>
      </w:pPr>
      <w:r>
        <w:rPr>
          <w:rFonts w:ascii="Times New Roman" w:hAnsi="Times New Roman"/>
          <w:lang w:val="hr-HR"/>
        </w:rPr>
        <w:t>raskopavanje, prekopavanje javne površine ili bilo kakvo drugo oštećenje javne površine, suprotno njenoj namjeni,</w:t>
      </w:r>
    </w:p>
    <w:p>
      <w:pPr>
        <w:pStyle w:val="ListParagraph"/>
        <w:numPr>
          <w:ilvl w:val="0"/>
          <w:numId w:val="3"/>
        </w:numPr>
        <w:jc w:val="both"/>
        <w:rPr>
          <w:rFonts w:ascii="Times New Roman" w:hAnsi="Times New Roman"/>
        </w:rPr>
      </w:pPr>
      <w:r>
        <w:rPr>
          <w:rFonts w:ascii="Times New Roman" w:hAnsi="Times New Roman"/>
          <w:lang w:val="hr-HR"/>
        </w:rPr>
        <w:t>zadržavanje građevinskog, ogrjevnog i drugog materijala te strojeva, uređaja, naprava na javnoj površini duže od trideset dana, osim ako Općinski načelnik odobri držanje istih u dužem roku ako postoje opravdani razlozi,</w:t>
      </w:r>
    </w:p>
    <w:p>
      <w:pPr>
        <w:pStyle w:val="ListParagraph"/>
        <w:numPr>
          <w:ilvl w:val="0"/>
          <w:numId w:val="3"/>
        </w:numPr>
        <w:jc w:val="both"/>
        <w:rPr>
          <w:rFonts w:ascii="Times New Roman" w:hAnsi="Times New Roman"/>
        </w:rPr>
      </w:pPr>
      <w:r>
        <w:rPr>
          <w:rFonts w:ascii="Times New Roman" w:hAnsi="Times New Roman"/>
          <w:lang w:val="hr-HR"/>
        </w:rPr>
        <w:t>zatrpavanje odvodnih jaraka i otvora ispod pista,</w:t>
      </w:r>
    </w:p>
    <w:p>
      <w:pPr>
        <w:pStyle w:val="ListParagraph"/>
        <w:numPr>
          <w:ilvl w:val="0"/>
          <w:numId w:val="3"/>
        </w:numPr>
        <w:jc w:val="both"/>
        <w:rPr>
          <w:rFonts w:ascii="Times New Roman" w:hAnsi="Times New Roman"/>
        </w:rPr>
      </w:pPr>
      <w:r>
        <w:rPr>
          <w:rFonts w:ascii="Times New Roman" w:hAnsi="Times New Roman"/>
          <w:lang w:val="hr-HR"/>
        </w:rPr>
        <w:t>prskanje odvodnih jaraka totalnim herbicidom,</w:t>
      </w:r>
    </w:p>
    <w:p>
      <w:pPr>
        <w:pStyle w:val="ListParagraph"/>
        <w:numPr>
          <w:ilvl w:val="0"/>
          <w:numId w:val="3"/>
        </w:numPr>
        <w:jc w:val="both"/>
        <w:rPr>
          <w:rFonts w:ascii="Times New Roman" w:hAnsi="Times New Roman"/>
        </w:rPr>
      </w:pPr>
      <w:r>
        <w:rPr>
          <w:rFonts w:ascii="Times New Roman" w:hAnsi="Times New Roman"/>
          <w:lang w:val="hr-HR"/>
        </w:rPr>
        <w:t>i ostale srodne, nedozvoljene radnje, istog ili većeg intenziteta kršenja od propisanih zabrana u prethodnim alinejama ovog članka.</w:t>
      </w:r>
    </w:p>
    <w:p>
      <w:pPr>
        <w:pStyle w:val="Normal"/>
        <w:jc w:val="both"/>
        <w:rPr>
          <w:rFonts w:ascii="Times New Roman" w:hAnsi="Times New Roman"/>
        </w:rPr>
      </w:pPr>
      <w:r>
        <w:rPr>
          <w:rFonts w:ascii="Times New Roman" w:hAnsi="Times New Roman"/>
          <w:lang w:val="hr-HR"/>
        </w:rPr>
        <w:tab/>
        <w:t>Iznimno od odredbe prethodnog stavka alineje 11. dopušteno je zaustavljanje i parkiranje motornih vozila subjektima, kojima je povjereno uređenje i održavanje javnih površina.</w:t>
      </w:r>
    </w:p>
    <w:p>
      <w:pPr>
        <w:pStyle w:val="Normal"/>
        <w:jc w:val="both"/>
        <w:rPr>
          <w:rFonts w:ascii="Times New Roman" w:hAnsi="Times New Roman"/>
          <w:lang w:val="hr-HR"/>
        </w:rPr>
      </w:pPr>
      <w:r>
        <w:rPr>
          <w:rFonts w:ascii="Times New Roman" w:hAnsi="Times New Roman"/>
          <w:lang w:val="hr-HR"/>
        </w:rPr>
      </w:r>
    </w:p>
    <w:p>
      <w:pPr>
        <w:pStyle w:val="Normal"/>
        <w:jc w:val="center"/>
        <w:rPr>
          <w:rFonts w:ascii="Times New Roman" w:hAnsi="Times New Roman"/>
        </w:rPr>
      </w:pPr>
      <w:r>
        <w:rPr>
          <w:rFonts w:ascii="Times New Roman" w:hAnsi="Times New Roman"/>
          <w:b/>
          <w:lang w:val="hr-HR"/>
        </w:rPr>
        <w:t>Članak 15.</w:t>
      </w:r>
    </w:p>
    <w:p>
      <w:pPr>
        <w:pStyle w:val="Normal"/>
        <w:jc w:val="both"/>
        <w:rPr>
          <w:rFonts w:ascii="Times New Roman" w:hAnsi="Times New Roman"/>
        </w:rPr>
      </w:pPr>
      <w:r>
        <w:rPr>
          <w:rFonts w:ascii="Times New Roman" w:hAnsi="Times New Roman"/>
          <w:lang w:val="hr-HR"/>
        </w:rPr>
        <w:tab/>
        <w:t>Stabla, živice i drugo zelenilo uz nerazvrstane ceste i javne prometne površine se moraju održavati ne ometajući prolaz pješaka i vozila, sigurnost i vidljivost odnosno preglednost u prometu.</w:t>
      </w:r>
    </w:p>
    <w:p>
      <w:pPr>
        <w:pStyle w:val="Normal"/>
        <w:jc w:val="both"/>
        <w:rPr>
          <w:rFonts w:ascii="Times New Roman" w:hAnsi="Times New Roman"/>
        </w:rPr>
      </w:pPr>
      <w:r>
        <w:rPr>
          <w:rFonts w:ascii="Times New Roman" w:hAnsi="Times New Roman"/>
          <w:lang w:val="hr-HR"/>
        </w:rPr>
        <w:tab/>
        <w:t>Komunalni redar će narediti vlasniku odnosno korisniku zemljišta, radove iz stavka 1. ovog članka (uklanjanje živice, osušenog ili bolesnog stabla, ili granja).</w:t>
      </w:r>
    </w:p>
    <w:p>
      <w:pPr>
        <w:pStyle w:val="Normal"/>
        <w:jc w:val="both"/>
        <w:rPr>
          <w:rFonts w:ascii="Times New Roman" w:hAnsi="Times New Roman"/>
        </w:rPr>
      </w:pPr>
      <w:r>
        <w:rPr>
          <w:rFonts w:ascii="Times New Roman" w:hAnsi="Times New Roman"/>
          <w:lang w:val="hr-HR"/>
        </w:rPr>
        <w:tab/>
        <w:t>Ukoliko vlasnik odnosno korisnik ne izvrši naređenu mjeru isto će izvršiti treća osoba, ali na račun vlasnika odnosno korisnika zemljišta.</w:t>
      </w:r>
    </w:p>
    <w:p>
      <w:pPr>
        <w:pStyle w:val="Normal"/>
        <w:jc w:val="both"/>
        <w:rPr>
          <w:rFonts w:ascii="Times New Roman" w:hAnsi="Times New Roman"/>
          <w:lang w:val="hr-HR"/>
        </w:rPr>
      </w:pPr>
      <w:r>
        <w:rPr>
          <w:rFonts w:ascii="Times New Roman" w:hAnsi="Times New Roman"/>
          <w:lang w:val="hr-HR"/>
        </w:rPr>
      </w:r>
    </w:p>
    <w:p>
      <w:pPr>
        <w:pStyle w:val="Normal"/>
        <w:jc w:val="center"/>
        <w:rPr>
          <w:rFonts w:ascii="Times New Roman" w:hAnsi="Times New Roman"/>
        </w:rPr>
      </w:pPr>
      <w:r>
        <w:rPr>
          <w:rFonts w:ascii="Times New Roman" w:hAnsi="Times New Roman"/>
          <w:b/>
          <w:lang w:val="hr-HR"/>
        </w:rPr>
        <w:t xml:space="preserve">Članak 16. </w:t>
      </w:r>
    </w:p>
    <w:p>
      <w:pPr>
        <w:pStyle w:val="Normal"/>
        <w:rPr>
          <w:rFonts w:ascii="Times New Roman" w:hAnsi="Times New Roman"/>
        </w:rPr>
      </w:pPr>
      <w:r>
        <w:rPr>
          <w:rFonts w:ascii="Times New Roman" w:hAnsi="Times New Roman"/>
          <w:b/>
          <w:lang w:val="hr-HR"/>
        </w:rPr>
        <w:tab/>
      </w:r>
      <w:r>
        <w:rPr>
          <w:rFonts w:ascii="Times New Roman" w:hAnsi="Times New Roman"/>
          <w:lang w:val="hr-HR"/>
        </w:rPr>
        <w:t>Drva se moraju ukloniti s javne površine u roku od 30 dana, a ugljen u roku od 24 sata.</w:t>
      </w:r>
    </w:p>
    <w:p>
      <w:pPr>
        <w:pStyle w:val="ListParagraph"/>
        <w:numPr>
          <w:ilvl w:val="0"/>
          <w:numId w:val="4"/>
        </w:numPr>
        <w:jc w:val="both"/>
        <w:rPr>
          <w:rFonts w:ascii="Times New Roman" w:hAnsi="Times New Roman"/>
        </w:rPr>
      </w:pPr>
      <w:r>
        <w:rPr>
          <w:rFonts w:ascii="Times New Roman" w:hAnsi="Times New Roman"/>
          <w:b/>
          <w:lang w:val="hr-HR"/>
        </w:rPr>
        <w:t>Skupljanje, odvoz i postupanje sa sakupljenim komunalnim otpadom</w:t>
      </w:r>
    </w:p>
    <w:p>
      <w:pPr>
        <w:pStyle w:val="Normal"/>
        <w:jc w:val="center"/>
        <w:rPr>
          <w:rFonts w:ascii="Times New Roman" w:hAnsi="Times New Roman"/>
        </w:rPr>
      </w:pPr>
      <w:r>
        <w:rPr>
          <w:rFonts w:ascii="Times New Roman" w:hAnsi="Times New Roman"/>
          <w:b/>
          <w:lang w:val="hr-HR"/>
        </w:rPr>
        <w:t>Članak 17.</w:t>
      </w:r>
    </w:p>
    <w:p>
      <w:pPr>
        <w:pStyle w:val="Normal"/>
        <w:jc w:val="both"/>
        <w:rPr>
          <w:rFonts w:ascii="Times New Roman" w:hAnsi="Times New Roman"/>
        </w:rPr>
      </w:pPr>
      <w:r>
        <w:rPr>
          <w:rFonts w:ascii="Times New Roman" w:hAnsi="Times New Roman"/>
          <w:lang w:val="hr-HR"/>
        </w:rPr>
        <w:tab/>
        <w:t>Komunalnim otpadom u smislu ove Odluke smatra se:</w:t>
      </w:r>
    </w:p>
    <w:p>
      <w:pPr>
        <w:pStyle w:val="ListParagraph"/>
        <w:numPr>
          <w:ilvl w:val="0"/>
          <w:numId w:val="3"/>
        </w:numPr>
        <w:jc w:val="both"/>
        <w:rPr>
          <w:rFonts w:ascii="Times New Roman" w:hAnsi="Times New Roman"/>
        </w:rPr>
      </w:pPr>
      <w:r>
        <w:rPr>
          <w:rFonts w:ascii="Times New Roman" w:hAnsi="Times New Roman"/>
          <w:lang w:val="hr-HR"/>
        </w:rPr>
        <w:t>kućno smeće (ostaci hrane, odjeće, obuće i slično),</w:t>
      </w:r>
    </w:p>
    <w:p>
      <w:pPr>
        <w:pStyle w:val="ListParagraph"/>
        <w:numPr>
          <w:ilvl w:val="0"/>
          <w:numId w:val="3"/>
        </w:numPr>
        <w:jc w:val="both"/>
        <w:rPr>
          <w:rFonts w:ascii="Times New Roman" w:hAnsi="Times New Roman"/>
        </w:rPr>
      </w:pPr>
      <w:r>
        <w:rPr>
          <w:rFonts w:ascii="Times New Roman" w:hAnsi="Times New Roman"/>
          <w:lang w:val="hr-HR"/>
        </w:rPr>
        <w:t>glomazni otpad (kućni uređaji i strojevi i njihovi dijelovi, dijelovi vozila, gume, ostaci građevinskog, ogrjevnog materijala i slično),</w:t>
      </w:r>
    </w:p>
    <w:p>
      <w:pPr>
        <w:pStyle w:val="ListParagraph"/>
        <w:numPr>
          <w:ilvl w:val="0"/>
          <w:numId w:val="3"/>
        </w:numPr>
        <w:jc w:val="both"/>
        <w:rPr>
          <w:rFonts w:ascii="Times New Roman" w:hAnsi="Times New Roman"/>
        </w:rPr>
      </w:pPr>
      <w:r>
        <w:rPr>
          <w:rFonts w:ascii="Times New Roman" w:hAnsi="Times New Roman"/>
          <w:lang w:val="hr-HR"/>
        </w:rPr>
        <w:t>drugo što nije kućno smeće niti tehnološki otpad.</w:t>
      </w:r>
    </w:p>
    <w:p>
      <w:pPr>
        <w:pStyle w:val="Normal"/>
        <w:rPr>
          <w:rFonts w:ascii="Times New Roman" w:hAnsi="Times New Roman"/>
          <w:lang w:val="hr-HR"/>
        </w:rPr>
      </w:pPr>
      <w:r>
        <w:rPr>
          <w:rFonts w:ascii="Times New Roman" w:hAnsi="Times New Roman"/>
          <w:lang w:val="hr-HR"/>
        </w:rPr>
      </w:r>
    </w:p>
    <w:p>
      <w:pPr>
        <w:pStyle w:val="Normal"/>
        <w:jc w:val="center"/>
        <w:rPr>
          <w:rFonts w:ascii="Times New Roman" w:hAnsi="Times New Roman"/>
        </w:rPr>
      </w:pPr>
      <w:r>
        <w:rPr>
          <w:rFonts w:ascii="Times New Roman" w:hAnsi="Times New Roman"/>
          <w:b/>
          <w:lang w:val="hr-HR"/>
        </w:rPr>
        <w:t>Članak 18.</w:t>
      </w:r>
    </w:p>
    <w:p>
      <w:pPr>
        <w:pStyle w:val="Normal"/>
        <w:jc w:val="both"/>
        <w:rPr>
          <w:rFonts w:ascii="Times New Roman" w:hAnsi="Times New Roman"/>
        </w:rPr>
      </w:pPr>
      <w:r>
        <w:rPr>
          <w:rFonts w:ascii="Times New Roman" w:hAnsi="Times New Roman"/>
          <w:lang w:val="hr-HR"/>
        </w:rPr>
        <w:tab/>
        <w:t>Komunalni otpad stambenih, poslovnih i drugih objekata odvozi fizička ili pravna osoba, pojedinačno ili organizirano, prevoznim sredstvima u vlasništvu građana odnosno pravne osobe i odlaže na predviđenu lokaciju za odlaganje smeća (deponiju).</w:t>
      </w:r>
    </w:p>
    <w:p>
      <w:pPr>
        <w:pStyle w:val="Normal"/>
        <w:jc w:val="both"/>
        <w:rPr>
          <w:rFonts w:ascii="Times New Roman" w:hAnsi="Times New Roman"/>
          <w:lang w:val="hr-HR"/>
        </w:rPr>
      </w:pPr>
      <w:r>
        <w:rPr>
          <w:rFonts w:ascii="Times New Roman" w:hAnsi="Times New Roman"/>
          <w:lang w:val="hr-HR"/>
        </w:rPr>
      </w:r>
    </w:p>
    <w:p>
      <w:pPr>
        <w:pStyle w:val="Normal"/>
        <w:jc w:val="center"/>
        <w:rPr>
          <w:rFonts w:ascii="Times New Roman" w:hAnsi="Times New Roman"/>
        </w:rPr>
      </w:pPr>
      <w:r>
        <w:rPr>
          <w:rFonts w:ascii="Times New Roman" w:hAnsi="Times New Roman"/>
          <w:b/>
          <w:lang w:val="hr-HR"/>
        </w:rPr>
        <w:t>Članak 19.</w:t>
      </w:r>
    </w:p>
    <w:p>
      <w:pPr>
        <w:pStyle w:val="Normal"/>
        <w:jc w:val="both"/>
        <w:rPr>
          <w:rFonts w:ascii="Times New Roman" w:hAnsi="Times New Roman"/>
        </w:rPr>
      </w:pPr>
      <w:r>
        <w:rPr>
          <w:rFonts w:ascii="Times New Roman" w:hAnsi="Times New Roman"/>
          <w:lang w:val="hr-HR"/>
        </w:rPr>
        <w:tab/>
        <w:t>Komunalni otpad se skuplja u prikladnim vrećama ili posudama, a odvozi se istresanjem u vozilo ili ubacivanjem vreća u vozilo.</w:t>
      </w:r>
    </w:p>
    <w:p>
      <w:pPr>
        <w:pStyle w:val="Normal"/>
        <w:jc w:val="both"/>
        <w:rPr>
          <w:rFonts w:ascii="Times New Roman" w:hAnsi="Times New Roman"/>
        </w:rPr>
      </w:pPr>
      <w:r>
        <w:rPr>
          <w:rFonts w:ascii="Times New Roman" w:hAnsi="Times New Roman"/>
          <w:lang w:val="hr-HR"/>
        </w:rPr>
        <w:tab/>
      </w:r>
    </w:p>
    <w:p>
      <w:pPr>
        <w:pStyle w:val="Normal"/>
        <w:jc w:val="center"/>
        <w:rPr>
          <w:rFonts w:ascii="Times New Roman" w:hAnsi="Times New Roman"/>
        </w:rPr>
      </w:pPr>
      <w:r>
        <w:rPr>
          <w:rFonts w:ascii="Times New Roman" w:hAnsi="Times New Roman"/>
          <w:b/>
          <w:lang w:val="hr-HR"/>
        </w:rPr>
        <w:t>Članak 20.</w:t>
      </w:r>
    </w:p>
    <w:p>
      <w:pPr>
        <w:pStyle w:val="Normal"/>
        <w:jc w:val="both"/>
        <w:rPr>
          <w:rFonts w:ascii="Times New Roman" w:hAnsi="Times New Roman"/>
        </w:rPr>
      </w:pPr>
      <w:r>
        <w:rPr>
          <w:rFonts w:ascii="Times New Roman" w:hAnsi="Times New Roman"/>
          <w:lang w:val="hr-HR"/>
        </w:rPr>
        <w:tab/>
        <w:t>Postavljanje specijalnih posuda za smeće (papir, staklo, aluminijum i slično) odobrava Općinski načelnik.</w:t>
      </w:r>
    </w:p>
    <w:p>
      <w:pPr>
        <w:pStyle w:val="Normal"/>
        <w:rPr>
          <w:rFonts w:ascii="Times New Roman" w:hAnsi="Times New Roman"/>
          <w:lang w:val="hr-HR"/>
        </w:rPr>
      </w:pPr>
      <w:r>
        <w:rPr>
          <w:rFonts w:ascii="Times New Roman" w:hAnsi="Times New Roman"/>
          <w:lang w:val="hr-HR"/>
        </w:rPr>
      </w:r>
    </w:p>
    <w:p>
      <w:pPr>
        <w:pStyle w:val="Normal"/>
        <w:jc w:val="center"/>
        <w:rPr>
          <w:rFonts w:ascii="Times New Roman" w:hAnsi="Times New Roman"/>
        </w:rPr>
      </w:pPr>
      <w:r>
        <w:rPr>
          <w:rFonts w:ascii="Times New Roman" w:hAnsi="Times New Roman"/>
          <w:b/>
          <w:lang w:val="hr-HR"/>
        </w:rPr>
        <w:t>Članak 21.</w:t>
      </w:r>
    </w:p>
    <w:p>
      <w:pPr>
        <w:pStyle w:val="Normal"/>
        <w:jc w:val="both"/>
        <w:rPr>
          <w:rFonts w:ascii="Times New Roman" w:hAnsi="Times New Roman"/>
        </w:rPr>
      </w:pPr>
      <w:r>
        <w:rPr>
          <w:rFonts w:ascii="Times New Roman" w:hAnsi="Times New Roman"/>
          <w:lang w:val="hr-HR"/>
        </w:rPr>
        <w:tab/>
        <w:t>Odvoz komunalnog otpada je obvezan.</w:t>
      </w:r>
    </w:p>
    <w:p>
      <w:pPr>
        <w:pStyle w:val="Normal"/>
        <w:jc w:val="both"/>
        <w:rPr>
          <w:rFonts w:ascii="Times New Roman" w:hAnsi="Times New Roman"/>
        </w:rPr>
      </w:pPr>
      <w:r>
        <w:rPr>
          <w:rFonts w:ascii="Times New Roman" w:hAnsi="Times New Roman"/>
          <w:lang w:val="hr-HR"/>
        </w:rPr>
        <w:tab/>
        <w:t>Zabranjeno je komunalni otpad uništavati paljenjem ili na drugi nedozvoljen način.</w:t>
      </w:r>
    </w:p>
    <w:p>
      <w:pPr>
        <w:pStyle w:val="Normal"/>
        <w:jc w:val="both"/>
        <w:rPr>
          <w:rFonts w:ascii="Times New Roman" w:hAnsi="Times New Roman"/>
        </w:rPr>
      </w:pPr>
      <w:r>
        <w:rPr>
          <w:rFonts w:ascii="Times New Roman" w:hAnsi="Times New Roman"/>
        </w:rPr>
      </w:r>
    </w:p>
    <w:p>
      <w:pPr>
        <w:pStyle w:val="ListParagraph"/>
        <w:numPr>
          <w:ilvl w:val="0"/>
          <w:numId w:val="4"/>
        </w:numPr>
        <w:rPr>
          <w:rFonts w:ascii="Times New Roman" w:hAnsi="Times New Roman"/>
        </w:rPr>
      </w:pPr>
      <w:r>
        <w:rPr>
          <w:rFonts w:ascii="Times New Roman" w:hAnsi="Times New Roman"/>
          <w:b/>
          <w:lang w:val="hr-HR"/>
        </w:rPr>
        <w:t>Javna rasvjeta</w:t>
      </w:r>
    </w:p>
    <w:p>
      <w:pPr>
        <w:pStyle w:val="Normal"/>
        <w:jc w:val="center"/>
        <w:rPr>
          <w:rFonts w:ascii="Times New Roman" w:hAnsi="Times New Roman"/>
        </w:rPr>
      </w:pPr>
      <w:r>
        <w:rPr>
          <w:rFonts w:ascii="Times New Roman" w:hAnsi="Times New Roman"/>
          <w:b/>
          <w:lang w:val="hr-HR"/>
        </w:rPr>
        <w:t>Članak 22.</w:t>
      </w:r>
    </w:p>
    <w:p>
      <w:pPr>
        <w:pStyle w:val="Normal"/>
        <w:jc w:val="both"/>
        <w:rPr>
          <w:rFonts w:ascii="Times New Roman" w:hAnsi="Times New Roman"/>
        </w:rPr>
      </w:pPr>
      <w:r>
        <w:rPr>
          <w:rFonts w:ascii="Times New Roman" w:hAnsi="Times New Roman"/>
          <w:lang w:val="hr-HR"/>
        </w:rPr>
        <w:tab/>
        <w:t>Javne prometne površine, pješačke staze i drugi glavni putevi na javnim površinama moraju biti osvjetljeni.</w:t>
      </w:r>
    </w:p>
    <w:p>
      <w:pPr>
        <w:pStyle w:val="Normal"/>
        <w:jc w:val="both"/>
        <w:rPr>
          <w:rFonts w:ascii="Times New Roman" w:hAnsi="Times New Roman"/>
          <w:lang w:val="hr-HR"/>
        </w:rPr>
      </w:pPr>
      <w:r>
        <w:rPr>
          <w:rFonts w:ascii="Times New Roman" w:hAnsi="Times New Roman"/>
          <w:lang w:val="hr-HR"/>
        </w:rPr>
      </w:r>
    </w:p>
    <w:p>
      <w:pPr>
        <w:pStyle w:val="Normal"/>
        <w:jc w:val="center"/>
        <w:rPr>
          <w:rFonts w:ascii="Times New Roman" w:hAnsi="Times New Roman"/>
        </w:rPr>
      </w:pPr>
      <w:r>
        <w:rPr>
          <w:rFonts w:ascii="Times New Roman" w:hAnsi="Times New Roman"/>
          <w:b/>
          <w:lang w:val="hr-HR"/>
        </w:rPr>
        <w:t>Članak 23.</w:t>
      </w:r>
    </w:p>
    <w:p>
      <w:pPr>
        <w:pStyle w:val="Normal"/>
        <w:jc w:val="both"/>
        <w:rPr>
          <w:rFonts w:ascii="Times New Roman" w:hAnsi="Times New Roman"/>
        </w:rPr>
      </w:pPr>
      <w:r>
        <w:rPr>
          <w:rFonts w:ascii="Times New Roman" w:hAnsi="Times New Roman"/>
          <w:lang w:val="hr-HR"/>
        </w:rPr>
        <w:tab/>
        <w:t>Zabranjeno je oštećivati i uništavati objekte, uređaje i opremu javne rasvjete.</w:t>
      </w:r>
    </w:p>
    <w:p>
      <w:pPr>
        <w:pStyle w:val="Normal"/>
        <w:jc w:val="both"/>
        <w:rPr>
          <w:rFonts w:ascii="Times New Roman" w:hAnsi="Times New Roman"/>
        </w:rPr>
      </w:pPr>
      <w:r>
        <w:rPr>
          <w:rFonts w:ascii="Times New Roman" w:hAnsi="Times New Roman"/>
          <w:lang w:val="hr-HR"/>
        </w:rPr>
        <w:tab/>
        <w:t>Ne smije se na objekte i opremu javne rasvjete postavljati oglase, obavijesti, reklame i slične predmete.</w:t>
      </w:r>
    </w:p>
    <w:p>
      <w:pPr>
        <w:pStyle w:val="Normal"/>
        <w:rPr>
          <w:rFonts w:ascii="Times New Roman" w:hAnsi="Times New Roman"/>
          <w:lang w:val="hr-HR"/>
        </w:rPr>
      </w:pPr>
      <w:r>
        <w:rPr>
          <w:rFonts w:ascii="Times New Roman" w:hAnsi="Times New Roman"/>
          <w:lang w:val="hr-HR"/>
        </w:rPr>
      </w:r>
    </w:p>
    <w:p>
      <w:pPr>
        <w:pStyle w:val="Normal"/>
        <w:jc w:val="center"/>
        <w:rPr>
          <w:rFonts w:ascii="Times New Roman" w:hAnsi="Times New Roman"/>
        </w:rPr>
      </w:pPr>
      <w:r>
        <w:rPr>
          <w:rFonts w:ascii="Times New Roman" w:hAnsi="Times New Roman"/>
          <w:b/>
          <w:lang w:val="hr-HR"/>
        </w:rPr>
        <w:t>Članak 24.</w:t>
      </w:r>
    </w:p>
    <w:p>
      <w:pPr>
        <w:pStyle w:val="Normal"/>
        <w:jc w:val="both"/>
        <w:rPr>
          <w:rFonts w:ascii="Times New Roman" w:hAnsi="Times New Roman"/>
        </w:rPr>
      </w:pPr>
      <w:r>
        <w:rPr>
          <w:rFonts w:ascii="Times New Roman" w:hAnsi="Times New Roman"/>
          <w:lang w:val="hr-HR"/>
        </w:rPr>
        <w:tab/>
        <w:t>Javna rasvjeta, uređaji i oprema javne rasvjete moraju biti funkcionalni, redovito se održavati te udovoljavati standardima i propisima.</w:t>
      </w:r>
    </w:p>
    <w:p>
      <w:pPr>
        <w:pStyle w:val="Normal"/>
        <w:jc w:val="both"/>
        <w:rPr>
          <w:rFonts w:ascii="Times New Roman" w:hAnsi="Times New Roman"/>
        </w:rPr>
      </w:pPr>
      <w:r>
        <w:rPr>
          <w:rFonts w:ascii="Times New Roman" w:hAnsi="Times New Roman"/>
          <w:lang w:val="hr-HR"/>
        </w:rPr>
        <w:tab/>
        <w:t>Javnom rasvjetom upravlja te objekte i uređaje javne rasvjete održava HEP.</w:t>
      </w:r>
    </w:p>
    <w:p>
      <w:pPr>
        <w:pStyle w:val="Normal"/>
        <w:jc w:val="both"/>
        <w:rPr>
          <w:rFonts w:ascii="Times New Roman" w:hAnsi="Times New Roman"/>
          <w:lang w:val="hr-HR"/>
        </w:rPr>
      </w:pPr>
      <w:r>
        <w:rPr>
          <w:rFonts w:ascii="Times New Roman" w:hAnsi="Times New Roman"/>
          <w:lang w:val="hr-HR"/>
        </w:rPr>
      </w:r>
    </w:p>
    <w:p>
      <w:pPr>
        <w:pStyle w:val="ListParagraph"/>
        <w:numPr>
          <w:ilvl w:val="0"/>
          <w:numId w:val="4"/>
        </w:numPr>
        <w:jc w:val="both"/>
        <w:rPr>
          <w:rFonts w:ascii="Times New Roman" w:hAnsi="Times New Roman"/>
        </w:rPr>
      </w:pPr>
      <w:r>
        <w:rPr>
          <w:rFonts w:ascii="Times New Roman" w:hAnsi="Times New Roman"/>
          <w:b/>
          <w:lang w:val="hr-HR"/>
        </w:rPr>
        <w:t>Javni zahodi</w:t>
      </w:r>
    </w:p>
    <w:p>
      <w:pPr>
        <w:pStyle w:val="Normal"/>
        <w:jc w:val="center"/>
        <w:rPr>
          <w:rFonts w:ascii="Times New Roman" w:hAnsi="Times New Roman"/>
        </w:rPr>
      </w:pPr>
      <w:r>
        <w:rPr>
          <w:rFonts w:ascii="Times New Roman" w:hAnsi="Times New Roman"/>
          <w:b/>
          <w:lang w:val="hr-HR"/>
        </w:rPr>
        <w:t>Članak 25.</w:t>
      </w:r>
    </w:p>
    <w:p>
      <w:pPr>
        <w:pStyle w:val="Normal"/>
        <w:jc w:val="both"/>
        <w:rPr>
          <w:rFonts w:ascii="Times New Roman" w:hAnsi="Times New Roman"/>
        </w:rPr>
      </w:pPr>
      <w:r>
        <w:rPr>
          <w:rFonts w:ascii="Times New Roman" w:hAnsi="Times New Roman"/>
          <w:b/>
          <w:lang w:val="hr-HR"/>
        </w:rPr>
        <w:tab/>
      </w:r>
      <w:r>
        <w:rPr>
          <w:rFonts w:ascii="Times New Roman" w:hAnsi="Times New Roman"/>
          <w:lang w:val="hr-HR"/>
        </w:rPr>
        <w:t>Javni zahodi grade se i postavljaju po odobrenju komunalnog redara, na odgovarajućim mjestima javnih površina na kojima se građani okupljaju i duže zadržavaju.</w:t>
      </w:r>
    </w:p>
    <w:p>
      <w:pPr>
        <w:pStyle w:val="Normal"/>
        <w:jc w:val="both"/>
        <w:rPr>
          <w:rFonts w:ascii="Times New Roman" w:hAnsi="Times New Roman"/>
        </w:rPr>
      </w:pPr>
      <w:r>
        <w:rPr>
          <w:rFonts w:ascii="Times New Roman" w:hAnsi="Times New Roman"/>
          <w:lang w:val="hr-HR"/>
        </w:rPr>
        <w:tab/>
        <w:t xml:space="preserve">Javni zahodi moraju ispunjavati odgovarajuće higijenske i tehničke uvjete, a vlasnik, odnosno ovlaštena pravna ili fizička osoba koja ih održava, mora ih održavati u urednom i ispravnom stanju. </w:t>
      </w:r>
    </w:p>
    <w:p>
      <w:pPr>
        <w:pStyle w:val="Normal"/>
        <w:jc w:val="both"/>
        <w:rPr>
          <w:rFonts w:ascii="Times New Roman" w:hAnsi="Times New Roman"/>
        </w:rPr>
      </w:pPr>
      <w:r>
        <w:rPr>
          <w:rFonts w:ascii="Times New Roman" w:hAnsi="Times New Roman"/>
          <w:lang w:val="hr-HR"/>
        </w:rPr>
        <w:tab/>
        <w:t xml:space="preserve">Javne zahode treba graditi i postavljati na način da ih mogu koristiti osobe s posebnim potrebama. </w:t>
      </w:r>
    </w:p>
    <w:p>
      <w:pPr>
        <w:pStyle w:val="Normal"/>
        <w:jc w:val="both"/>
        <w:rPr>
          <w:rFonts w:ascii="Times New Roman" w:hAnsi="Times New Roman"/>
          <w:lang w:val="hr-HR"/>
        </w:rPr>
      </w:pPr>
      <w:r>
        <w:rPr>
          <w:rFonts w:ascii="Times New Roman" w:hAnsi="Times New Roman"/>
          <w:lang w:val="hr-HR"/>
        </w:rPr>
      </w:r>
    </w:p>
    <w:p>
      <w:pPr>
        <w:pStyle w:val="ListParagraph"/>
        <w:numPr>
          <w:ilvl w:val="0"/>
          <w:numId w:val="4"/>
        </w:numPr>
        <w:jc w:val="both"/>
        <w:rPr>
          <w:rFonts w:ascii="Times New Roman" w:hAnsi="Times New Roman"/>
        </w:rPr>
      </w:pPr>
      <w:r>
        <w:rPr>
          <w:rFonts w:ascii="Times New Roman" w:hAnsi="Times New Roman"/>
          <w:b/>
          <w:lang w:val="hr-HR"/>
        </w:rPr>
        <w:t>HPT usluge</w:t>
      </w:r>
    </w:p>
    <w:p>
      <w:pPr>
        <w:pStyle w:val="Normal"/>
        <w:jc w:val="center"/>
        <w:rPr>
          <w:rFonts w:ascii="Times New Roman" w:hAnsi="Times New Roman"/>
        </w:rPr>
      </w:pPr>
      <w:r>
        <w:rPr>
          <w:rFonts w:ascii="Times New Roman" w:hAnsi="Times New Roman"/>
          <w:b/>
          <w:lang w:val="hr-HR"/>
        </w:rPr>
        <w:t>Članak 26.</w:t>
      </w:r>
    </w:p>
    <w:p>
      <w:pPr>
        <w:pStyle w:val="Normal"/>
        <w:jc w:val="both"/>
        <w:rPr>
          <w:rFonts w:ascii="Times New Roman" w:hAnsi="Times New Roman"/>
        </w:rPr>
      </w:pPr>
      <w:r>
        <w:rPr>
          <w:rFonts w:ascii="Times New Roman" w:hAnsi="Times New Roman"/>
          <w:lang w:val="hr-HR"/>
        </w:rPr>
        <w:tab/>
        <w:t>Poštanski sandučići, javne telefonske govornice i bankomati se postavljaju po odobrenju nadležnog tijela, na mjestima na kojima se građani okupljaju i zadržavaju te na zgradi pošte, na način da ih mogu koristiti osobe s posebnim potrebama.</w:t>
      </w:r>
    </w:p>
    <w:p>
      <w:pPr>
        <w:pStyle w:val="Normal"/>
        <w:jc w:val="both"/>
        <w:rPr>
          <w:rFonts w:ascii="Times New Roman" w:hAnsi="Times New Roman"/>
        </w:rPr>
      </w:pPr>
      <w:r>
        <w:rPr>
          <w:rFonts w:ascii="Times New Roman" w:hAnsi="Times New Roman"/>
          <w:lang w:val="hr-HR"/>
        </w:rPr>
        <w:tab/>
        <w:t>Poštanske sandučiće i javne telefonske govornice postavlja i održava HPT po odobrenju nadležnog tijela.</w:t>
      </w:r>
    </w:p>
    <w:p>
      <w:pPr>
        <w:pStyle w:val="Normal"/>
        <w:rPr>
          <w:rFonts w:ascii="Times New Roman" w:hAnsi="Times New Roman"/>
          <w:lang w:val="hr-HR"/>
        </w:rPr>
      </w:pPr>
      <w:r>
        <w:rPr>
          <w:rFonts w:ascii="Times New Roman" w:hAnsi="Times New Roman"/>
          <w:lang w:val="hr-HR"/>
        </w:rPr>
      </w:r>
    </w:p>
    <w:p>
      <w:pPr>
        <w:pStyle w:val="Normal"/>
        <w:jc w:val="center"/>
        <w:rPr>
          <w:rFonts w:ascii="Times New Roman" w:hAnsi="Times New Roman"/>
        </w:rPr>
      </w:pPr>
      <w:r>
        <w:rPr>
          <w:rFonts w:ascii="Times New Roman" w:hAnsi="Times New Roman"/>
          <w:b/>
          <w:lang w:val="hr-HR"/>
        </w:rPr>
        <w:t>Članak 27.</w:t>
      </w:r>
    </w:p>
    <w:p>
      <w:pPr>
        <w:pStyle w:val="Normal"/>
        <w:jc w:val="both"/>
        <w:rPr>
          <w:rFonts w:ascii="Times New Roman" w:hAnsi="Times New Roman"/>
        </w:rPr>
      </w:pPr>
      <w:r>
        <w:rPr>
          <w:rFonts w:ascii="Times New Roman" w:hAnsi="Times New Roman"/>
          <w:lang w:val="hr-HR"/>
        </w:rPr>
        <w:tab/>
        <w:t>Zabranjeno je na poštanske sandučiće, javne telefonske govornice i bankomate postavljati oglase, obavijesti, reklame i slične predmete.</w:t>
      </w:r>
    </w:p>
    <w:p>
      <w:pPr>
        <w:pStyle w:val="Normal"/>
        <w:jc w:val="both"/>
        <w:rPr>
          <w:rFonts w:ascii="Times New Roman" w:hAnsi="Times New Roman"/>
        </w:rPr>
      </w:pPr>
      <w:r>
        <w:rPr>
          <w:rFonts w:ascii="Times New Roman" w:hAnsi="Times New Roman"/>
          <w:lang w:val="hr-HR"/>
        </w:rPr>
        <w:tab/>
      </w:r>
    </w:p>
    <w:p>
      <w:pPr>
        <w:pStyle w:val="Normal"/>
        <w:jc w:val="center"/>
        <w:rPr>
          <w:rFonts w:ascii="Times New Roman" w:hAnsi="Times New Roman"/>
        </w:rPr>
      </w:pPr>
      <w:r>
        <w:rPr>
          <w:rFonts w:ascii="Times New Roman" w:hAnsi="Times New Roman"/>
          <w:b/>
          <w:lang w:val="hr-HR"/>
        </w:rPr>
        <w:t>Članak 28.</w:t>
      </w:r>
    </w:p>
    <w:p>
      <w:pPr>
        <w:pStyle w:val="Normal"/>
        <w:rPr>
          <w:rFonts w:ascii="Times New Roman" w:hAnsi="Times New Roman"/>
        </w:rPr>
      </w:pPr>
      <w:r>
        <w:rPr>
          <w:rFonts w:ascii="Times New Roman" w:hAnsi="Times New Roman"/>
          <w:lang w:val="hr-HR"/>
        </w:rPr>
        <w:tab/>
        <w:t>Zabranjeno je poštanske sandučiće, telefonske govornice, bankomate, klupe i košare za otpatke uništavati, oštećivati, otuđivati, po njima šarati, crtati ili ih na sličan način prljati.</w:t>
      </w:r>
    </w:p>
    <w:p>
      <w:pPr>
        <w:pStyle w:val="Normal"/>
        <w:rPr>
          <w:rFonts w:ascii="Times New Roman" w:hAnsi="Times New Roman"/>
          <w:lang w:val="hr-HR"/>
        </w:rPr>
      </w:pPr>
      <w:r>
        <w:rPr>
          <w:rFonts w:ascii="Times New Roman" w:hAnsi="Times New Roman"/>
          <w:lang w:val="hr-HR"/>
        </w:rPr>
      </w:r>
    </w:p>
    <w:p>
      <w:pPr>
        <w:pStyle w:val="ListParagraph"/>
        <w:numPr>
          <w:ilvl w:val="0"/>
          <w:numId w:val="4"/>
        </w:numPr>
        <w:rPr>
          <w:rFonts w:ascii="Times New Roman" w:hAnsi="Times New Roman"/>
        </w:rPr>
      </w:pPr>
      <w:r>
        <w:rPr>
          <w:rFonts w:ascii="Times New Roman" w:hAnsi="Times New Roman"/>
          <w:b/>
          <w:lang w:val="hr-HR"/>
        </w:rPr>
        <w:t>Čišćenje snijega i leda</w:t>
      </w:r>
    </w:p>
    <w:p>
      <w:pPr>
        <w:pStyle w:val="Normal"/>
        <w:jc w:val="center"/>
        <w:rPr>
          <w:rFonts w:ascii="Times New Roman" w:hAnsi="Times New Roman"/>
        </w:rPr>
      </w:pPr>
      <w:r>
        <w:rPr>
          <w:rFonts w:ascii="Times New Roman" w:hAnsi="Times New Roman"/>
          <w:b/>
          <w:lang w:val="hr-HR"/>
        </w:rPr>
        <w:t>Članak 29.</w:t>
      </w:r>
    </w:p>
    <w:p>
      <w:pPr>
        <w:pStyle w:val="Normal"/>
        <w:jc w:val="both"/>
        <w:rPr>
          <w:rFonts w:ascii="Times New Roman" w:hAnsi="Times New Roman"/>
        </w:rPr>
      </w:pPr>
      <w:r>
        <w:rPr>
          <w:rFonts w:ascii="Times New Roman" w:hAnsi="Times New Roman"/>
          <w:lang w:val="hr-HR"/>
        </w:rPr>
        <w:tab/>
        <w:t>Vlasnici i korisnici stambenih, poslovnih i drugih objekata ili zemljišta uz pješačke staze ili druge javne površine, kojima se kreću pješaci, obvezni su čistiti i uklanjati snijeg i led s tih površina.</w:t>
      </w:r>
    </w:p>
    <w:p>
      <w:pPr>
        <w:pStyle w:val="Normal"/>
        <w:jc w:val="both"/>
        <w:rPr>
          <w:rFonts w:ascii="Times New Roman" w:hAnsi="Times New Roman"/>
        </w:rPr>
      </w:pPr>
      <w:r>
        <w:rPr>
          <w:rFonts w:ascii="Times New Roman" w:hAnsi="Times New Roman"/>
          <w:lang w:val="hr-HR"/>
        </w:rPr>
        <w:tab/>
        <w:t>Uklanjanje snijega i leda se obavlja prema potrebama sigurnog i nesmetanog kretanja pješaka. Na zaleđene pješačke staze ili druge javne površine kojima se kreću pješaci posipa se pepeo, piljevina, pijesak i slično.</w:t>
      </w:r>
    </w:p>
    <w:p>
      <w:pPr>
        <w:pStyle w:val="Normal"/>
        <w:jc w:val="both"/>
        <w:rPr>
          <w:rFonts w:ascii="Times New Roman" w:hAnsi="Times New Roman"/>
        </w:rPr>
      </w:pPr>
      <w:r>
        <w:rPr>
          <w:rFonts w:ascii="Times New Roman" w:hAnsi="Times New Roman"/>
          <w:lang w:val="hr-HR"/>
        </w:rPr>
        <w:tab/>
        <w:t>Snijeg se čisti na način i sredstvima koja ne oštećuju pješačke staze, odnosno ceste.</w:t>
      </w:r>
    </w:p>
    <w:p>
      <w:pPr>
        <w:pStyle w:val="Normal"/>
        <w:rPr>
          <w:rFonts w:ascii="Times New Roman" w:hAnsi="Times New Roman"/>
          <w:lang w:val="hr-HR"/>
        </w:rPr>
      </w:pPr>
      <w:r>
        <w:rPr>
          <w:rFonts w:ascii="Times New Roman" w:hAnsi="Times New Roman"/>
          <w:lang w:val="hr-HR"/>
        </w:rPr>
      </w:r>
    </w:p>
    <w:p>
      <w:pPr>
        <w:pStyle w:val="Normal"/>
        <w:jc w:val="center"/>
        <w:rPr>
          <w:rFonts w:ascii="Times New Roman" w:hAnsi="Times New Roman"/>
        </w:rPr>
      </w:pPr>
      <w:r>
        <w:rPr>
          <w:rFonts w:ascii="Times New Roman" w:hAnsi="Times New Roman"/>
          <w:b/>
          <w:lang w:val="hr-HR"/>
        </w:rPr>
        <w:t>Članak 30.</w:t>
      </w:r>
    </w:p>
    <w:p>
      <w:pPr>
        <w:pStyle w:val="Normal"/>
        <w:jc w:val="both"/>
        <w:rPr>
          <w:rFonts w:ascii="Times New Roman" w:hAnsi="Times New Roman"/>
        </w:rPr>
      </w:pPr>
      <w:r>
        <w:rPr>
          <w:rFonts w:ascii="Times New Roman" w:hAnsi="Times New Roman"/>
          <w:lang w:val="hr-HR"/>
        </w:rPr>
        <w:tab/>
        <w:t>Ukoliko prijeti opasnost da se nagomilani snijeg sa krovova odroni i tako ugrozi sigurnost prolaznika, vlasnici odnosno korisnici objekata moraju propisano označiti opasnost te opasnost otkloniti.</w:t>
      </w:r>
    </w:p>
    <w:p>
      <w:pPr>
        <w:pStyle w:val="Normal"/>
        <w:jc w:val="both"/>
        <w:rPr>
          <w:rFonts w:ascii="Times New Roman" w:hAnsi="Times New Roman"/>
        </w:rPr>
      </w:pPr>
      <w:r>
        <w:rPr>
          <w:rFonts w:ascii="Times New Roman" w:hAnsi="Times New Roman"/>
          <w:lang w:val="hr-HR"/>
        </w:rPr>
        <w:tab/>
        <w:t>Snijeg se može odlagati na javnu površinu na način da ne ugrožava javni promet, a ulični jarak i slivnik moraju biti slobodni.</w:t>
      </w:r>
    </w:p>
    <w:p>
      <w:pPr>
        <w:pStyle w:val="Normal"/>
        <w:rPr>
          <w:rFonts w:ascii="Times New Roman" w:hAnsi="Times New Roman"/>
          <w:lang w:val="hr-HR"/>
        </w:rPr>
      </w:pPr>
      <w:r>
        <w:rPr>
          <w:rFonts w:ascii="Times New Roman" w:hAnsi="Times New Roman"/>
          <w:lang w:val="hr-HR"/>
        </w:rPr>
      </w:r>
    </w:p>
    <w:p>
      <w:pPr>
        <w:pStyle w:val="ListParagraph"/>
        <w:numPr>
          <w:ilvl w:val="0"/>
          <w:numId w:val="4"/>
        </w:numPr>
        <w:rPr>
          <w:rFonts w:ascii="Times New Roman" w:hAnsi="Times New Roman"/>
        </w:rPr>
      </w:pPr>
      <w:r>
        <w:rPr>
          <w:rFonts w:ascii="Times New Roman" w:hAnsi="Times New Roman"/>
          <w:b/>
          <w:lang w:val="hr-HR"/>
        </w:rPr>
        <w:t>Otklanjanje otpadnih voda</w:t>
      </w:r>
    </w:p>
    <w:p>
      <w:pPr>
        <w:pStyle w:val="Normal"/>
        <w:jc w:val="center"/>
        <w:rPr>
          <w:rFonts w:ascii="Times New Roman" w:hAnsi="Times New Roman"/>
        </w:rPr>
      </w:pPr>
      <w:r>
        <w:rPr>
          <w:rFonts w:ascii="Times New Roman" w:hAnsi="Times New Roman"/>
          <w:b/>
          <w:lang w:val="hr-HR"/>
        </w:rPr>
        <w:t>Članak 31.</w:t>
      </w:r>
    </w:p>
    <w:p>
      <w:pPr>
        <w:pStyle w:val="Normal"/>
        <w:jc w:val="both"/>
        <w:rPr>
          <w:rFonts w:ascii="Times New Roman" w:hAnsi="Times New Roman"/>
        </w:rPr>
      </w:pPr>
      <w:r>
        <w:rPr>
          <w:rFonts w:ascii="Times New Roman" w:hAnsi="Times New Roman"/>
          <w:lang w:val="hr-HR"/>
        </w:rPr>
        <w:tab/>
        <w:t>Odvodnja oborinskih voda sa stambenih, poslovnih i drugih objekata i zemljišta se vrši u cestovni jarak, ako se njihovo otjecanje ne može priključiti na mrežu kanalizacije.</w:t>
      </w:r>
    </w:p>
    <w:p>
      <w:pPr>
        <w:pStyle w:val="Normal"/>
        <w:jc w:val="both"/>
        <w:rPr>
          <w:rFonts w:ascii="Times New Roman" w:hAnsi="Times New Roman"/>
        </w:rPr>
      </w:pPr>
      <w:r>
        <w:rPr>
          <w:rFonts w:ascii="Times New Roman" w:hAnsi="Times New Roman"/>
          <w:lang w:val="hr-HR"/>
        </w:rPr>
        <w:tab/>
        <w:t>Vlasnici odnosno korisnici stambenih, poslovnih i drugih objekata dužni su održavati u funkcionalnom stanju cestovne jarke u dužini objekata i zemljišta koje koriste.</w:t>
      </w:r>
    </w:p>
    <w:p>
      <w:pPr>
        <w:pStyle w:val="Normal"/>
        <w:jc w:val="both"/>
        <w:rPr>
          <w:rFonts w:ascii="Times New Roman" w:hAnsi="Times New Roman"/>
          <w:lang w:val="hr-HR"/>
        </w:rPr>
      </w:pPr>
      <w:r>
        <w:rPr>
          <w:rFonts w:ascii="Times New Roman" w:hAnsi="Times New Roman"/>
          <w:lang w:val="hr-HR"/>
        </w:rPr>
      </w:r>
    </w:p>
    <w:p>
      <w:pPr>
        <w:pStyle w:val="Normal"/>
        <w:jc w:val="center"/>
        <w:rPr>
          <w:rFonts w:ascii="Times New Roman" w:hAnsi="Times New Roman"/>
        </w:rPr>
      </w:pPr>
      <w:r>
        <w:rPr>
          <w:rFonts w:ascii="Times New Roman" w:hAnsi="Times New Roman"/>
          <w:b/>
          <w:lang w:val="hr-HR"/>
        </w:rPr>
        <w:t>Članak 32.</w:t>
      </w:r>
    </w:p>
    <w:p>
      <w:pPr>
        <w:pStyle w:val="Normal"/>
        <w:rPr>
          <w:rFonts w:ascii="Times New Roman" w:hAnsi="Times New Roman"/>
        </w:rPr>
      </w:pPr>
      <w:r>
        <w:rPr>
          <w:rFonts w:ascii="Times New Roman" w:hAnsi="Times New Roman"/>
          <w:lang w:val="hr-HR"/>
        </w:rPr>
        <w:tab/>
        <w:t>Zabranjeno je ispuštanje tekućeg animalnog otpada u putne jarke ili u druge jarke koji služe za odvodnju oborinskih voda.</w:t>
      </w:r>
    </w:p>
    <w:p>
      <w:pPr>
        <w:pStyle w:val="Normal"/>
        <w:rPr>
          <w:rFonts w:ascii="Times New Roman" w:hAnsi="Times New Roman"/>
        </w:rPr>
      </w:pPr>
      <w:r>
        <w:rPr>
          <w:rFonts w:ascii="Times New Roman" w:hAnsi="Times New Roman"/>
          <w:lang w:val="hr-HR"/>
        </w:rPr>
        <w:tab/>
        <w:t>Zabranjeno je ispuštanje otrova od traktorskih šprica (prskalica) ili ispuštanje sadržaja njihovog pranja u putne jarke ili druge jarke koji služe odvodnji oborinskih voda.</w:t>
      </w:r>
    </w:p>
    <w:p>
      <w:pPr>
        <w:pStyle w:val="Normal"/>
        <w:rPr>
          <w:rFonts w:ascii="Times New Roman" w:hAnsi="Times New Roman"/>
          <w:lang w:val="hr-HR"/>
        </w:rPr>
      </w:pPr>
      <w:r>
        <w:rPr>
          <w:rFonts w:ascii="Times New Roman" w:hAnsi="Times New Roman"/>
          <w:lang w:val="hr-HR"/>
        </w:rPr>
      </w:r>
    </w:p>
    <w:p>
      <w:pPr>
        <w:pStyle w:val="ListParagraph"/>
        <w:numPr>
          <w:ilvl w:val="0"/>
          <w:numId w:val="4"/>
        </w:numPr>
        <w:rPr>
          <w:rFonts w:ascii="Times New Roman" w:hAnsi="Times New Roman"/>
        </w:rPr>
      </w:pPr>
      <w:r>
        <w:rPr>
          <w:rFonts w:ascii="Times New Roman" w:hAnsi="Times New Roman"/>
          <w:b/>
          <w:lang w:val="hr-HR"/>
        </w:rPr>
        <w:t>Čišćenje zahodskih jama i odvoz fekalija</w:t>
      </w:r>
    </w:p>
    <w:p>
      <w:pPr>
        <w:pStyle w:val="Normal"/>
        <w:jc w:val="center"/>
        <w:rPr>
          <w:rFonts w:ascii="Times New Roman" w:hAnsi="Times New Roman"/>
        </w:rPr>
      </w:pPr>
      <w:r>
        <w:rPr>
          <w:rFonts w:ascii="Times New Roman" w:hAnsi="Times New Roman"/>
          <w:b/>
          <w:lang w:val="hr-HR"/>
        </w:rPr>
        <w:t>Članak 33.</w:t>
      </w:r>
    </w:p>
    <w:p>
      <w:pPr>
        <w:pStyle w:val="Normal"/>
        <w:jc w:val="both"/>
        <w:rPr>
          <w:rFonts w:ascii="Times New Roman" w:hAnsi="Times New Roman"/>
        </w:rPr>
      </w:pPr>
      <w:r>
        <w:rPr>
          <w:rFonts w:ascii="Times New Roman" w:hAnsi="Times New Roman"/>
          <w:lang w:val="hr-HR"/>
        </w:rPr>
        <w:tab/>
        <w:t>Čišćenje, pražnjenje, odvoz i odlaganje sadržaja septičkih jama vrši se pneumatskim uređajem. Odvoz fekalija može se vršiti samo u potpuno zatvorenoj posudi (cisterni).</w:t>
      </w:r>
    </w:p>
    <w:p>
      <w:pPr>
        <w:pStyle w:val="ListParagraph"/>
        <w:numPr>
          <w:ilvl w:val="0"/>
          <w:numId w:val="4"/>
        </w:numPr>
        <w:rPr>
          <w:rFonts w:ascii="Times New Roman" w:hAnsi="Times New Roman"/>
        </w:rPr>
      </w:pPr>
      <w:r>
        <w:rPr>
          <w:rFonts w:ascii="Times New Roman" w:hAnsi="Times New Roman"/>
          <w:b/>
          <w:lang w:val="hr-HR"/>
        </w:rPr>
        <w:t>Držanje krupne i sitne stoke</w:t>
      </w:r>
    </w:p>
    <w:p>
      <w:pPr>
        <w:pStyle w:val="Normal"/>
        <w:jc w:val="center"/>
        <w:rPr>
          <w:rFonts w:ascii="Times New Roman" w:hAnsi="Times New Roman"/>
        </w:rPr>
      </w:pPr>
      <w:r>
        <w:rPr>
          <w:rFonts w:ascii="Times New Roman" w:hAnsi="Times New Roman"/>
          <w:b/>
          <w:lang w:val="hr-HR"/>
        </w:rPr>
        <w:t>Članak 34.</w:t>
      </w:r>
    </w:p>
    <w:p>
      <w:pPr>
        <w:pStyle w:val="Normal"/>
        <w:jc w:val="both"/>
        <w:rPr>
          <w:rFonts w:ascii="Times New Roman" w:hAnsi="Times New Roman"/>
        </w:rPr>
      </w:pPr>
      <w:r>
        <w:rPr>
          <w:rFonts w:ascii="Times New Roman" w:hAnsi="Times New Roman"/>
          <w:lang w:val="hr-HR"/>
        </w:rPr>
        <w:tab/>
        <w:t>Građani mogu držati krupnu i sitnu stoku te druge domaće životinje u skladu sa zakonom i drugim propisima.</w:t>
      </w:r>
    </w:p>
    <w:p>
      <w:pPr>
        <w:pStyle w:val="Normal"/>
        <w:jc w:val="both"/>
        <w:rPr>
          <w:rFonts w:ascii="Times New Roman" w:hAnsi="Times New Roman"/>
        </w:rPr>
      </w:pPr>
      <w:r>
        <w:rPr>
          <w:rFonts w:ascii="Times New Roman" w:hAnsi="Times New Roman"/>
          <w:lang w:val="hr-HR"/>
        </w:rPr>
        <w:tab/>
        <w:t>Stoka se mora držati u odgovarajućim objektima uz obvezno preventivno i drugo cjepljenje.</w:t>
      </w:r>
    </w:p>
    <w:p>
      <w:pPr>
        <w:pStyle w:val="Normal"/>
        <w:jc w:val="both"/>
        <w:rPr>
          <w:rFonts w:ascii="Times New Roman" w:hAnsi="Times New Roman"/>
        </w:rPr>
      </w:pPr>
      <w:r>
        <w:rPr>
          <w:rFonts w:ascii="Times New Roman" w:hAnsi="Times New Roman"/>
          <w:lang w:val="hr-HR"/>
        </w:rPr>
        <w:tab/>
        <w:t>Zabranjuje se čuvanje i napasanje stoke na javnim površinama (npr. ispred školske zgrade, crkve i drugih objekata).</w:t>
      </w:r>
    </w:p>
    <w:p>
      <w:pPr>
        <w:pStyle w:val="Normal"/>
        <w:jc w:val="both"/>
        <w:rPr>
          <w:rFonts w:ascii="Times New Roman" w:hAnsi="Times New Roman"/>
        </w:rPr>
      </w:pPr>
      <w:r>
        <w:rPr>
          <w:rFonts w:ascii="Times New Roman" w:hAnsi="Times New Roman"/>
          <w:lang w:val="hr-HR"/>
        </w:rPr>
        <w:tab/>
        <w:t>Kroz naselje je dozvoljen samo progon stoke.</w:t>
      </w:r>
    </w:p>
    <w:p>
      <w:pPr>
        <w:pStyle w:val="Normal"/>
        <w:jc w:val="both"/>
        <w:rPr>
          <w:rFonts w:ascii="Times New Roman" w:hAnsi="Times New Roman"/>
        </w:rPr>
      </w:pPr>
      <w:r>
        <w:rPr>
          <w:rFonts w:ascii="Times New Roman" w:hAnsi="Times New Roman"/>
          <w:lang w:val="hr-HR"/>
        </w:rPr>
        <w:tab/>
        <w:t>Prilikom progona stoke kroz naselje, ne smije se ugrožavati prolaz vozila niti oštećivati javne površine.</w:t>
      </w:r>
    </w:p>
    <w:p>
      <w:pPr>
        <w:pStyle w:val="Normal"/>
        <w:jc w:val="both"/>
        <w:rPr>
          <w:rFonts w:ascii="Times New Roman" w:hAnsi="Times New Roman"/>
        </w:rPr>
      </w:pPr>
      <w:r>
        <w:rPr>
          <w:rFonts w:ascii="Times New Roman" w:hAnsi="Times New Roman"/>
          <w:lang w:val="hr-HR"/>
        </w:rPr>
        <w:tab/>
        <w:t>U slučaju pričinjavanja štete iz stavka 3. i 4. ovog članka te štete na usjevima vlasnik stoke je dužan istu naknaditi.</w:t>
      </w:r>
    </w:p>
    <w:p>
      <w:pPr>
        <w:pStyle w:val="Normal"/>
        <w:jc w:val="both"/>
        <w:rPr>
          <w:rFonts w:ascii="Times New Roman" w:hAnsi="Times New Roman"/>
        </w:rPr>
      </w:pPr>
      <w:r>
        <w:rPr>
          <w:rFonts w:ascii="Times New Roman" w:hAnsi="Times New Roman"/>
          <w:lang w:val="hr-HR"/>
        </w:rPr>
        <w:tab/>
        <w:t>Držanje i progon stoke i druga pitanja regulisaće se posebnom odlukom Općinskog načelnika u skladu sa Zakonom o veterinarskoj inspekciji i drugim propisima.</w:t>
      </w:r>
    </w:p>
    <w:p>
      <w:pPr>
        <w:pStyle w:val="Normal"/>
        <w:jc w:val="both"/>
        <w:rPr>
          <w:rFonts w:ascii="Times New Roman" w:hAnsi="Times New Roman"/>
          <w:lang w:val="hr-HR"/>
        </w:rPr>
      </w:pPr>
      <w:r>
        <w:rPr>
          <w:rFonts w:ascii="Times New Roman" w:hAnsi="Times New Roman"/>
          <w:lang w:val="hr-HR"/>
        </w:rPr>
      </w:r>
    </w:p>
    <w:p>
      <w:pPr>
        <w:pStyle w:val="Normal"/>
        <w:jc w:val="center"/>
        <w:rPr>
          <w:rFonts w:ascii="Times New Roman" w:hAnsi="Times New Roman"/>
        </w:rPr>
      </w:pPr>
      <w:r>
        <w:rPr>
          <w:rFonts w:ascii="Times New Roman" w:hAnsi="Times New Roman"/>
          <w:b/>
          <w:lang w:val="hr-HR"/>
        </w:rPr>
        <w:t>Članak 35.</w:t>
      </w:r>
    </w:p>
    <w:p>
      <w:pPr>
        <w:pStyle w:val="Normal"/>
        <w:rPr>
          <w:rFonts w:ascii="Times New Roman" w:hAnsi="Times New Roman"/>
        </w:rPr>
      </w:pPr>
      <w:r>
        <w:rPr>
          <w:rFonts w:ascii="Times New Roman" w:hAnsi="Times New Roman"/>
          <w:lang w:val="hr-HR"/>
        </w:rPr>
        <w:tab/>
        <w:t>Zabranjeno je puštanje stoke i sličnih životinja da se slobodno kreću selom.</w:t>
      </w:r>
    </w:p>
    <w:p>
      <w:pPr>
        <w:pStyle w:val="Normal"/>
        <w:rPr>
          <w:rFonts w:ascii="Times New Roman" w:hAnsi="Times New Roman"/>
          <w:lang w:val="hr-HR"/>
        </w:rPr>
      </w:pPr>
      <w:r>
        <w:rPr>
          <w:rFonts w:ascii="Times New Roman" w:hAnsi="Times New Roman"/>
          <w:lang w:val="hr-HR"/>
        </w:rPr>
      </w:r>
    </w:p>
    <w:p>
      <w:pPr>
        <w:pStyle w:val="ListParagraph"/>
        <w:numPr>
          <w:ilvl w:val="0"/>
          <w:numId w:val="4"/>
        </w:numPr>
        <w:rPr>
          <w:rFonts w:ascii="Times New Roman" w:hAnsi="Times New Roman"/>
        </w:rPr>
      </w:pPr>
      <w:r>
        <w:rPr>
          <w:rFonts w:ascii="Times New Roman" w:hAnsi="Times New Roman"/>
          <w:b/>
          <w:lang w:val="hr-HR"/>
        </w:rPr>
        <w:t>Uklanjanje protupravno postavljenih predmeta</w:t>
      </w:r>
    </w:p>
    <w:p>
      <w:pPr>
        <w:pStyle w:val="Normal"/>
        <w:jc w:val="center"/>
        <w:rPr>
          <w:rFonts w:ascii="Times New Roman" w:hAnsi="Times New Roman"/>
        </w:rPr>
      </w:pPr>
      <w:r>
        <w:rPr>
          <w:rFonts w:ascii="Times New Roman" w:hAnsi="Times New Roman"/>
          <w:b/>
          <w:lang w:val="hr-HR"/>
        </w:rPr>
        <w:t>Članak 36.</w:t>
      </w:r>
    </w:p>
    <w:p>
      <w:pPr>
        <w:pStyle w:val="Normal"/>
        <w:jc w:val="both"/>
        <w:rPr>
          <w:rFonts w:ascii="Times New Roman" w:hAnsi="Times New Roman"/>
        </w:rPr>
      </w:pPr>
      <w:r>
        <w:rPr>
          <w:rFonts w:ascii="Times New Roman" w:hAnsi="Times New Roman"/>
          <w:lang w:val="hr-HR"/>
        </w:rPr>
        <w:tab/>
        <w:t>Protupravno (bez odobrenja nadležnog tijela Općine) postavljene objekte ili predmete na području Općine moraju ukloniti njihovi vlasnici ili korisnici.</w:t>
      </w:r>
    </w:p>
    <w:p>
      <w:pPr>
        <w:pStyle w:val="Normal"/>
        <w:jc w:val="both"/>
        <w:rPr>
          <w:rFonts w:ascii="Times New Roman" w:hAnsi="Times New Roman"/>
        </w:rPr>
      </w:pPr>
      <w:r>
        <w:rPr>
          <w:rFonts w:ascii="Times New Roman" w:hAnsi="Times New Roman"/>
          <w:lang w:val="hr-HR"/>
        </w:rPr>
        <w:tab/>
        <w:t>Neizvršenje obveza iz stavka 1. ovog članka i pored naredbe komunalnog redara omogućuje njihovo uklanjanje na trošak vlasnika ili korisnika.</w:t>
      </w:r>
    </w:p>
    <w:p>
      <w:pPr>
        <w:pStyle w:val="Normal"/>
        <w:rPr>
          <w:rFonts w:ascii="Times New Roman" w:hAnsi="Times New Roman"/>
          <w:lang w:val="hr-HR"/>
        </w:rPr>
      </w:pPr>
      <w:r>
        <w:rPr>
          <w:rFonts w:ascii="Times New Roman" w:hAnsi="Times New Roman"/>
          <w:lang w:val="hr-HR"/>
        </w:rPr>
      </w:r>
    </w:p>
    <w:p>
      <w:pPr>
        <w:pStyle w:val="Normal"/>
        <w:rPr>
          <w:rFonts w:ascii="Times New Roman" w:hAnsi="Times New Roman"/>
        </w:rPr>
      </w:pPr>
      <w:r>
        <w:rPr>
          <w:rFonts w:ascii="Times New Roman" w:hAnsi="Times New Roman"/>
          <w:b/>
          <w:lang w:val="hr-HR"/>
        </w:rPr>
        <w:t>III. NADZOR I MJERE ZA PROVOĐENJE KOMUNALNOG REDA</w:t>
      </w:r>
    </w:p>
    <w:p>
      <w:pPr>
        <w:pStyle w:val="Normal"/>
        <w:jc w:val="center"/>
        <w:rPr>
          <w:rFonts w:ascii="Times New Roman" w:hAnsi="Times New Roman"/>
        </w:rPr>
      </w:pPr>
      <w:r>
        <w:rPr>
          <w:rFonts w:ascii="Times New Roman" w:hAnsi="Times New Roman"/>
          <w:b/>
          <w:lang w:val="hr-HR"/>
        </w:rPr>
        <w:t>Članak 37.</w:t>
      </w:r>
    </w:p>
    <w:p>
      <w:pPr>
        <w:pStyle w:val="Normal"/>
        <w:jc w:val="both"/>
        <w:rPr>
          <w:rFonts w:ascii="Times New Roman" w:hAnsi="Times New Roman"/>
        </w:rPr>
      </w:pPr>
      <w:r>
        <w:rPr>
          <w:rFonts w:ascii="Times New Roman" w:hAnsi="Times New Roman"/>
          <w:lang w:val="hr-HR"/>
        </w:rPr>
        <w:tab/>
        <w:t>Nadzor nad provođenjem ove Odluke vrši ovlaštena osoba Jedinstvenog upravnog odjela (komunalni redar) i ovlaštene osobe Ministarstva unutarnjih poslova, uz suradnju građana. Komunalni redar je službena osoba, koja status dokazuje službenom iskaznicom.</w:t>
      </w:r>
    </w:p>
    <w:p>
      <w:pPr>
        <w:pStyle w:val="Normal"/>
        <w:rPr>
          <w:rFonts w:ascii="Times New Roman" w:hAnsi="Times New Roman"/>
          <w:lang w:val="hr-HR"/>
        </w:rPr>
      </w:pPr>
      <w:r>
        <w:rPr>
          <w:rFonts w:ascii="Times New Roman" w:hAnsi="Times New Roman"/>
          <w:lang w:val="hr-HR"/>
        </w:rPr>
      </w:r>
    </w:p>
    <w:p>
      <w:pPr>
        <w:pStyle w:val="Normal"/>
        <w:jc w:val="center"/>
        <w:rPr>
          <w:rFonts w:ascii="Times New Roman" w:hAnsi="Times New Roman"/>
        </w:rPr>
      </w:pPr>
      <w:r>
        <w:rPr>
          <w:rFonts w:ascii="Times New Roman" w:hAnsi="Times New Roman"/>
          <w:b/>
          <w:lang w:val="hr-HR"/>
        </w:rPr>
        <w:t>Članak 38.</w:t>
      </w:r>
    </w:p>
    <w:p>
      <w:pPr>
        <w:pStyle w:val="Normal"/>
        <w:jc w:val="both"/>
        <w:rPr>
          <w:rFonts w:ascii="Times New Roman" w:hAnsi="Times New Roman"/>
        </w:rPr>
      </w:pPr>
      <w:r>
        <w:rPr>
          <w:rFonts w:ascii="Times New Roman" w:hAnsi="Times New Roman"/>
          <w:lang w:val="hr-HR"/>
        </w:rPr>
        <w:tab/>
        <w:t>Kada građani utvrde prekršaj u primjeni odredbi ove Odluke, dužni su o tome pismeno izvijestiti Općinskog načelnika.</w:t>
      </w:r>
    </w:p>
    <w:p>
      <w:pPr>
        <w:pStyle w:val="Normal"/>
        <w:rPr>
          <w:rFonts w:ascii="Times New Roman" w:hAnsi="Times New Roman"/>
          <w:lang w:val="hr-HR"/>
        </w:rPr>
      </w:pPr>
      <w:r>
        <w:rPr>
          <w:rFonts w:ascii="Times New Roman" w:hAnsi="Times New Roman"/>
          <w:lang w:val="hr-HR"/>
        </w:rPr>
      </w:r>
    </w:p>
    <w:p>
      <w:pPr>
        <w:pStyle w:val="Normal"/>
        <w:jc w:val="center"/>
        <w:rPr>
          <w:rFonts w:ascii="Times New Roman" w:hAnsi="Times New Roman"/>
        </w:rPr>
      </w:pPr>
      <w:r>
        <w:rPr>
          <w:rFonts w:ascii="Times New Roman" w:hAnsi="Times New Roman"/>
          <w:b/>
          <w:lang w:val="hr-HR"/>
        </w:rPr>
        <w:t>Članak 39.</w:t>
      </w:r>
    </w:p>
    <w:p>
      <w:pPr>
        <w:pStyle w:val="Normal"/>
        <w:jc w:val="both"/>
        <w:rPr>
          <w:rFonts w:ascii="Times New Roman" w:hAnsi="Times New Roman"/>
        </w:rPr>
      </w:pPr>
      <w:r>
        <w:rPr>
          <w:rFonts w:ascii="Times New Roman" w:hAnsi="Times New Roman"/>
          <w:lang w:val="hr-HR"/>
        </w:rPr>
        <w:tab/>
        <w:t xml:space="preserve">Komunalni redar može: </w:t>
      </w:r>
    </w:p>
    <w:p>
      <w:pPr>
        <w:pStyle w:val="ListParagraph"/>
        <w:numPr>
          <w:ilvl w:val="0"/>
          <w:numId w:val="3"/>
        </w:numPr>
        <w:jc w:val="both"/>
        <w:rPr>
          <w:rFonts w:ascii="Times New Roman" w:hAnsi="Times New Roman"/>
        </w:rPr>
      </w:pPr>
      <w:r>
        <w:rPr>
          <w:rFonts w:ascii="Times New Roman" w:hAnsi="Times New Roman"/>
          <w:lang w:val="hr-HR"/>
        </w:rPr>
        <w:t>rješenjem narediti pravnim i fizičkim osobama radnje za uspostavljanje komunalnog reda,</w:t>
      </w:r>
    </w:p>
    <w:p>
      <w:pPr>
        <w:pStyle w:val="ListParagraph"/>
        <w:numPr>
          <w:ilvl w:val="0"/>
          <w:numId w:val="3"/>
        </w:numPr>
        <w:jc w:val="both"/>
        <w:rPr>
          <w:rFonts w:ascii="Times New Roman" w:hAnsi="Times New Roman"/>
        </w:rPr>
      </w:pPr>
      <w:r>
        <w:rPr>
          <w:rFonts w:ascii="Times New Roman" w:hAnsi="Times New Roman"/>
          <w:lang w:val="hr-HR"/>
        </w:rPr>
        <w:t>izricati i naplaćivati novčane kazne,</w:t>
      </w:r>
    </w:p>
    <w:p>
      <w:pPr>
        <w:pStyle w:val="ListParagraph"/>
        <w:numPr>
          <w:ilvl w:val="0"/>
          <w:numId w:val="3"/>
        </w:numPr>
        <w:jc w:val="both"/>
        <w:rPr>
          <w:rFonts w:ascii="Times New Roman" w:hAnsi="Times New Roman"/>
        </w:rPr>
      </w:pPr>
      <w:r>
        <w:rPr>
          <w:rFonts w:ascii="Times New Roman" w:hAnsi="Times New Roman"/>
          <w:lang w:val="hr-HR"/>
        </w:rPr>
        <w:t>predložiti pokretanje prekršajnog postupka.</w:t>
      </w:r>
    </w:p>
    <w:p>
      <w:pPr>
        <w:pStyle w:val="Normal"/>
        <w:jc w:val="both"/>
        <w:rPr>
          <w:rFonts w:ascii="Times New Roman" w:hAnsi="Times New Roman"/>
          <w:lang w:val="hr-HR"/>
        </w:rPr>
      </w:pPr>
      <w:r>
        <w:rPr>
          <w:rFonts w:ascii="Times New Roman" w:hAnsi="Times New Roman"/>
          <w:lang w:val="hr-HR"/>
        </w:rPr>
      </w:r>
    </w:p>
    <w:p>
      <w:pPr>
        <w:pStyle w:val="Normal"/>
        <w:jc w:val="center"/>
        <w:rPr>
          <w:rFonts w:ascii="Times New Roman" w:hAnsi="Times New Roman"/>
        </w:rPr>
      </w:pPr>
      <w:r>
        <w:rPr>
          <w:rFonts w:ascii="Times New Roman" w:hAnsi="Times New Roman"/>
          <w:b/>
          <w:lang w:val="hr-HR"/>
        </w:rPr>
        <w:t>Članak 40.</w:t>
      </w:r>
    </w:p>
    <w:p>
      <w:pPr>
        <w:pStyle w:val="Normal"/>
        <w:jc w:val="both"/>
        <w:rPr>
          <w:rFonts w:ascii="Times New Roman" w:hAnsi="Times New Roman"/>
        </w:rPr>
      </w:pPr>
      <w:r>
        <w:rPr>
          <w:rFonts w:ascii="Times New Roman" w:hAnsi="Times New Roman"/>
          <w:lang w:val="hr-HR"/>
        </w:rPr>
        <w:tab/>
        <w:t>U obavljanju nadzora nad poštivanjem propisa, komunalni redar je ovlašten:</w:t>
      </w:r>
    </w:p>
    <w:p>
      <w:pPr>
        <w:pStyle w:val="ListParagraph"/>
        <w:numPr>
          <w:ilvl w:val="0"/>
          <w:numId w:val="5"/>
        </w:numPr>
        <w:jc w:val="both"/>
        <w:rPr>
          <w:rFonts w:ascii="Times New Roman" w:hAnsi="Times New Roman"/>
        </w:rPr>
      </w:pPr>
      <w:r>
        <w:rPr>
          <w:rFonts w:ascii="Times New Roman" w:hAnsi="Times New Roman"/>
          <w:lang w:val="hr-HR"/>
        </w:rPr>
        <w:t>zatražiti pregled isprave (osobna iskaznica, putovnica, izvod iz sudskog registra i slično) na temelju kojih se može utvrditi identitet stranke odnosno zakonskog zastupnika stranke, kao i drugih osoba nazočnih prilikom nadzora,</w:t>
      </w:r>
    </w:p>
    <w:p>
      <w:pPr>
        <w:pStyle w:val="ListParagraph"/>
        <w:numPr>
          <w:ilvl w:val="0"/>
          <w:numId w:val="5"/>
        </w:numPr>
        <w:jc w:val="both"/>
        <w:rPr>
          <w:rFonts w:ascii="Times New Roman" w:hAnsi="Times New Roman"/>
        </w:rPr>
      </w:pPr>
      <w:r>
        <w:rPr>
          <w:rFonts w:ascii="Times New Roman" w:hAnsi="Times New Roman"/>
          <w:lang w:val="hr-HR"/>
        </w:rPr>
        <w:t>uzimati izjave od odgovornih osoba radi pribavljanja dokaza o činjenicama koje se ne mogu izravno utvrditi, kao i od drugih osoba nazočnih prilikom nadzora,</w:t>
      </w:r>
    </w:p>
    <w:p>
      <w:pPr>
        <w:pStyle w:val="ListParagraph"/>
        <w:numPr>
          <w:ilvl w:val="0"/>
          <w:numId w:val="5"/>
        </w:numPr>
        <w:jc w:val="both"/>
        <w:rPr>
          <w:rFonts w:ascii="Times New Roman" w:hAnsi="Times New Roman"/>
        </w:rPr>
      </w:pPr>
      <w:r>
        <w:rPr>
          <w:rFonts w:ascii="Times New Roman" w:hAnsi="Times New Roman"/>
          <w:lang w:val="hr-HR"/>
        </w:rPr>
        <w:t>zatražiti pisanim putem od stranke točne i potpune podatke i dokumentaciju potrebnu u nadzoru,</w:t>
      </w:r>
    </w:p>
    <w:p>
      <w:pPr>
        <w:pStyle w:val="ListParagraph"/>
        <w:numPr>
          <w:ilvl w:val="0"/>
          <w:numId w:val="5"/>
        </w:numPr>
        <w:jc w:val="both"/>
        <w:rPr>
          <w:rFonts w:ascii="Times New Roman" w:hAnsi="Times New Roman"/>
        </w:rPr>
      </w:pPr>
      <w:r>
        <w:rPr>
          <w:rFonts w:ascii="Times New Roman" w:hAnsi="Times New Roman"/>
          <w:lang w:val="hr-HR"/>
        </w:rPr>
        <w:t>prikupljati dokaze i utvrđivati činjenično stanje na vizualni i drugi odgovarajući način (fotografiranjem, snimanjem kamerom, videozapisom i slično),</w:t>
      </w:r>
    </w:p>
    <w:p>
      <w:pPr>
        <w:pStyle w:val="ListParagraph"/>
        <w:numPr>
          <w:ilvl w:val="0"/>
          <w:numId w:val="5"/>
        </w:numPr>
        <w:jc w:val="both"/>
        <w:rPr>
          <w:rFonts w:ascii="Times New Roman" w:hAnsi="Times New Roman"/>
        </w:rPr>
      </w:pPr>
      <w:r>
        <w:rPr>
          <w:rFonts w:ascii="Times New Roman" w:hAnsi="Times New Roman"/>
          <w:lang w:val="hr-HR"/>
        </w:rPr>
        <w:t>obavljati i druge radnje u svrhu provedbe nadzora.</w:t>
      </w:r>
    </w:p>
    <w:p>
      <w:pPr>
        <w:pStyle w:val="Normal"/>
        <w:rPr>
          <w:rFonts w:ascii="Times New Roman" w:hAnsi="Times New Roman"/>
          <w:lang w:val="hr-HR"/>
        </w:rPr>
      </w:pPr>
      <w:r>
        <w:rPr>
          <w:rFonts w:ascii="Times New Roman" w:hAnsi="Times New Roman"/>
          <w:lang w:val="hr-HR"/>
        </w:rPr>
      </w:r>
    </w:p>
    <w:p>
      <w:pPr>
        <w:pStyle w:val="Normal"/>
        <w:jc w:val="center"/>
        <w:rPr>
          <w:rFonts w:ascii="Times New Roman" w:hAnsi="Times New Roman"/>
        </w:rPr>
      </w:pPr>
      <w:r>
        <w:rPr>
          <w:rFonts w:ascii="Times New Roman" w:hAnsi="Times New Roman"/>
          <w:b/>
          <w:lang w:val="hr-HR"/>
        </w:rPr>
        <w:t xml:space="preserve">Članak 41. </w:t>
      </w:r>
    </w:p>
    <w:p>
      <w:pPr>
        <w:pStyle w:val="Normal"/>
        <w:jc w:val="both"/>
        <w:rPr>
          <w:rFonts w:ascii="Times New Roman" w:hAnsi="Times New Roman"/>
        </w:rPr>
      </w:pPr>
      <w:r>
        <w:rPr>
          <w:rFonts w:ascii="Times New Roman" w:hAnsi="Times New Roman"/>
          <w:lang w:val="hr-HR"/>
        </w:rPr>
        <w:tab/>
        <w:t>U nadzoru nad provedbom ove Odluke komunalni redar ima pravo i obvezu rješenjem ili na drugi način narediti fizičkim i pravnim osobama mjere za održavanje komunalnog reda propisane ovom Odlukom.</w:t>
      </w:r>
    </w:p>
    <w:p>
      <w:pPr>
        <w:pStyle w:val="Normal"/>
        <w:jc w:val="both"/>
        <w:rPr>
          <w:rFonts w:ascii="Times New Roman" w:hAnsi="Times New Roman"/>
        </w:rPr>
      </w:pPr>
      <w:r>
        <w:rPr>
          <w:rFonts w:ascii="Times New Roman" w:hAnsi="Times New Roman"/>
          <w:lang w:val="hr-HR"/>
        </w:rPr>
        <w:tab/>
        <w:t>Optužni prijedlog za prekršaj propisan ovom Odlukom koji u nadzoru utvrdi komunalni redar podnosi Jedinstveni upravni odjel Općine Negoslavci.</w:t>
      </w:r>
    </w:p>
    <w:p>
      <w:pPr>
        <w:pStyle w:val="Normal"/>
        <w:jc w:val="both"/>
        <w:rPr>
          <w:rFonts w:ascii="Times New Roman" w:hAnsi="Times New Roman"/>
        </w:rPr>
      </w:pPr>
      <w:r>
        <w:rPr>
          <w:rFonts w:ascii="Times New Roman" w:hAnsi="Times New Roman"/>
        </w:rPr>
      </w:r>
    </w:p>
    <w:p>
      <w:pPr>
        <w:pStyle w:val="Normal"/>
        <w:jc w:val="center"/>
        <w:rPr>
          <w:rFonts w:ascii="Times New Roman" w:hAnsi="Times New Roman"/>
        </w:rPr>
      </w:pPr>
      <w:r>
        <w:rPr>
          <w:rFonts w:ascii="Times New Roman" w:hAnsi="Times New Roman"/>
          <w:b/>
          <w:lang w:val="hr-HR"/>
        </w:rPr>
        <w:t>Članak 42.</w:t>
      </w:r>
    </w:p>
    <w:p>
      <w:pPr>
        <w:pStyle w:val="Normal"/>
        <w:rPr>
          <w:rFonts w:ascii="Times New Roman" w:hAnsi="Times New Roman"/>
        </w:rPr>
      </w:pPr>
      <w:r>
        <w:rPr>
          <w:rFonts w:ascii="Times New Roman" w:hAnsi="Times New Roman"/>
          <w:lang w:val="hr-HR"/>
        </w:rPr>
        <w:tab/>
        <w:t>Jedinstveni upravni odjel Općine Negoslavci je ovlašten zatražiti pomoć policije ako se prilikom izvršenja rješenja pruži otpor ili se otpor osnovano očekuje.</w:t>
      </w:r>
    </w:p>
    <w:p>
      <w:pPr>
        <w:pStyle w:val="Normal"/>
        <w:jc w:val="both"/>
        <w:rPr>
          <w:rFonts w:ascii="Times New Roman" w:hAnsi="Times New Roman"/>
          <w:lang w:val="hr-HR"/>
        </w:rPr>
      </w:pPr>
      <w:r>
        <w:rPr>
          <w:rFonts w:ascii="Times New Roman" w:hAnsi="Times New Roman"/>
          <w:lang w:val="hr-HR"/>
        </w:rPr>
      </w:r>
    </w:p>
    <w:p>
      <w:pPr>
        <w:pStyle w:val="Normal"/>
        <w:jc w:val="center"/>
        <w:rPr>
          <w:rFonts w:ascii="Times New Roman" w:hAnsi="Times New Roman"/>
        </w:rPr>
      </w:pPr>
      <w:r>
        <w:rPr>
          <w:rFonts w:ascii="Times New Roman" w:hAnsi="Times New Roman"/>
          <w:b/>
          <w:lang w:val="hr-HR"/>
        </w:rPr>
        <w:t>Članak 43.</w:t>
      </w:r>
    </w:p>
    <w:p>
      <w:pPr>
        <w:pStyle w:val="Normal"/>
        <w:jc w:val="both"/>
        <w:rPr>
          <w:rFonts w:ascii="Times New Roman" w:hAnsi="Times New Roman"/>
        </w:rPr>
      </w:pPr>
      <w:r>
        <w:rPr>
          <w:rFonts w:ascii="Times New Roman" w:hAnsi="Times New Roman"/>
          <w:lang w:val="hr-HR"/>
        </w:rPr>
        <w:tab/>
        <w:t>Protiv rješenja komunalnog redara se može u roku od 15 dana od primitka rješenja izjaviti žalba upravnom organu Vukovarsko-srijemske županije, nadležnom za poslove komunalnog gospodarstva.</w:t>
      </w:r>
    </w:p>
    <w:p>
      <w:pPr>
        <w:pStyle w:val="Normal"/>
        <w:jc w:val="both"/>
        <w:rPr>
          <w:rFonts w:ascii="Times New Roman" w:hAnsi="Times New Roman"/>
        </w:rPr>
      </w:pPr>
      <w:r>
        <w:rPr>
          <w:rFonts w:ascii="Times New Roman" w:hAnsi="Times New Roman"/>
          <w:lang w:val="hr-HR"/>
        </w:rPr>
        <w:tab/>
        <w:t>Žalba iz stavka 1. ovog članka ne odgađa izvršenje rješenja.</w:t>
      </w:r>
    </w:p>
    <w:p>
      <w:pPr>
        <w:pStyle w:val="Normal"/>
        <w:rPr>
          <w:rFonts w:ascii="Times New Roman" w:hAnsi="Times New Roman"/>
          <w:lang w:val="hr-HR"/>
        </w:rPr>
      </w:pPr>
      <w:r>
        <w:rPr>
          <w:rFonts w:ascii="Times New Roman" w:hAnsi="Times New Roman"/>
          <w:lang w:val="hr-HR"/>
        </w:rPr>
      </w:r>
    </w:p>
    <w:p>
      <w:pPr>
        <w:pStyle w:val="Normal"/>
        <w:jc w:val="center"/>
        <w:rPr>
          <w:rFonts w:ascii="Times New Roman" w:hAnsi="Times New Roman"/>
        </w:rPr>
      </w:pPr>
      <w:r>
        <w:rPr>
          <w:rFonts w:ascii="Times New Roman" w:hAnsi="Times New Roman"/>
          <w:b/>
          <w:lang w:val="hr-HR"/>
        </w:rPr>
        <w:t>Članak 44.</w:t>
      </w:r>
    </w:p>
    <w:p>
      <w:pPr>
        <w:pStyle w:val="Normal"/>
        <w:jc w:val="both"/>
        <w:rPr>
          <w:rFonts w:ascii="Times New Roman" w:hAnsi="Times New Roman"/>
        </w:rPr>
      </w:pPr>
      <w:r>
        <w:rPr>
          <w:rFonts w:ascii="Times New Roman" w:hAnsi="Times New Roman"/>
          <w:lang w:val="hr-HR"/>
        </w:rPr>
        <w:tab/>
        <w:t>Pravne i fizičke osobe su obvezne omogućiti nesmetan rad komunalnom redaru.</w:t>
      </w:r>
    </w:p>
    <w:p>
      <w:pPr>
        <w:pStyle w:val="Normal"/>
        <w:jc w:val="both"/>
        <w:rPr>
          <w:rFonts w:ascii="Times New Roman" w:hAnsi="Times New Roman"/>
        </w:rPr>
      </w:pPr>
      <w:r>
        <w:rPr>
          <w:rFonts w:ascii="Times New Roman" w:hAnsi="Times New Roman"/>
          <w:lang w:val="hr-HR"/>
        </w:rPr>
        <w:tab/>
        <w:t>U slučaju nepostupanja po rješenju komunalnog redara, odnosno neizvršavanja potrebnih radnji u cilju uspostave komunalnog reda, komunalni redar je ovlašten organizirati poduzimanje radnje na trošak obveznika.</w:t>
      </w:r>
    </w:p>
    <w:p>
      <w:pPr>
        <w:pStyle w:val="Normal"/>
        <w:jc w:val="both"/>
        <w:rPr>
          <w:rFonts w:ascii="Times New Roman" w:hAnsi="Times New Roman"/>
          <w:lang w:val="hr-HR"/>
        </w:rPr>
      </w:pPr>
      <w:r>
        <w:rPr>
          <w:rFonts w:ascii="Times New Roman" w:hAnsi="Times New Roman"/>
          <w:lang w:val="hr-HR"/>
        </w:rPr>
      </w:r>
    </w:p>
    <w:p>
      <w:pPr>
        <w:pStyle w:val="Normal"/>
        <w:rPr>
          <w:rFonts w:ascii="Times New Roman" w:hAnsi="Times New Roman"/>
        </w:rPr>
      </w:pPr>
      <w:r>
        <w:rPr>
          <w:rFonts w:ascii="Times New Roman" w:hAnsi="Times New Roman"/>
          <w:b/>
          <w:lang w:val="hr-HR"/>
        </w:rPr>
        <w:t>IV. KAZNENE ODREDBE</w:t>
      </w:r>
    </w:p>
    <w:p>
      <w:pPr>
        <w:pStyle w:val="Normal"/>
        <w:jc w:val="center"/>
        <w:rPr>
          <w:rFonts w:ascii="Times New Roman" w:hAnsi="Times New Roman"/>
        </w:rPr>
      </w:pPr>
      <w:r>
        <w:rPr>
          <w:rFonts w:ascii="Times New Roman" w:hAnsi="Times New Roman"/>
          <w:b/>
          <w:lang w:val="hr-HR"/>
        </w:rPr>
        <w:t>Članak 45.</w:t>
      </w:r>
    </w:p>
    <w:p>
      <w:pPr>
        <w:pStyle w:val="Normal"/>
        <w:jc w:val="both"/>
        <w:rPr>
          <w:rFonts w:ascii="Times New Roman" w:hAnsi="Times New Roman"/>
        </w:rPr>
      </w:pPr>
      <w:r>
        <w:rPr>
          <w:rFonts w:ascii="Times New Roman" w:hAnsi="Times New Roman"/>
          <w:b/>
          <w:lang w:val="hr-HR"/>
        </w:rPr>
        <w:tab/>
      </w:r>
      <w:r>
        <w:rPr>
          <w:rFonts w:ascii="Times New Roman" w:hAnsi="Times New Roman"/>
          <w:lang w:val="hr-HR"/>
        </w:rPr>
        <w:t>Prije izricanja novčane kazne komunalni redar će izreći mjeru upozorenja te ako se isti prekršaj ponovi od iste fizičke ili pravne osobe, ili pravna ili fizička osoba počinitelj prekršaja ne učini il</w:t>
      </w:r>
      <w:r>
        <w:rPr>
          <w:rFonts w:ascii="Times New Roman" w:hAnsi="Times New Roman"/>
          <w:color w:val="000000"/>
          <w:lang w:val="hr-HR"/>
        </w:rPr>
        <w:t>i se ne suzdrži sukladno naredbi komunalnog redara, tada će se počinitelju izreći kazna kako je propisano u člancima 46. i 47. ove Odluke.</w:t>
      </w:r>
    </w:p>
    <w:p>
      <w:pPr>
        <w:pStyle w:val="Normal"/>
        <w:jc w:val="both"/>
        <w:rPr>
          <w:rFonts w:ascii="Times New Roman" w:hAnsi="Times New Roman"/>
        </w:rPr>
      </w:pPr>
      <w:r>
        <w:rPr>
          <w:rFonts w:ascii="Times New Roman" w:hAnsi="Times New Roman"/>
          <w:color w:val="000000"/>
          <w:lang w:val="hr-HR"/>
        </w:rPr>
        <w:tab/>
        <w:t xml:space="preserve">Prethodni stavak se primjenjuje u svim slučajevima iz prethodnog stavka, osim u slučaju neovlaštenog odbacivanja otpada, za koji se primjenjuje Odluka o sprječavanju odbacivanja otpada na području Općine Negoslavci.  </w:t>
      </w:r>
    </w:p>
    <w:p>
      <w:pPr>
        <w:pStyle w:val="Normal"/>
        <w:rPr>
          <w:rFonts w:ascii="Times New Roman" w:hAnsi="Times New Roman"/>
          <w:color w:val="000000"/>
          <w:lang w:val="hr-HR"/>
        </w:rPr>
      </w:pPr>
      <w:r>
        <w:rPr>
          <w:rFonts w:ascii="Times New Roman" w:hAnsi="Times New Roman"/>
          <w:color w:val="000000"/>
          <w:lang w:val="hr-HR"/>
        </w:rPr>
      </w:r>
    </w:p>
    <w:p>
      <w:pPr>
        <w:pStyle w:val="Normal"/>
        <w:jc w:val="center"/>
        <w:rPr>
          <w:rFonts w:ascii="Times New Roman" w:hAnsi="Times New Roman"/>
        </w:rPr>
      </w:pPr>
      <w:r>
        <w:rPr>
          <w:rFonts w:ascii="Times New Roman" w:hAnsi="Times New Roman"/>
          <w:b/>
          <w:color w:val="000000"/>
          <w:lang w:val="hr-HR"/>
        </w:rPr>
        <w:t>Članak 46.</w:t>
      </w:r>
    </w:p>
    <w:p>
      <w:pPr>
        <w:pStyle w:val="Normal"/>
        <w:jc w:val="both"/>
        <w:rPr>
          <w:rFonts w:ascii="Times New Roman" w:hAnsi="Times New Roman"/>
        </w:rPr>
      </w:pPr>
      <w:r>
        <w:rPr>
          <w:rFonts w:ascii="Times New Roman" w:hAnsi="Times New Roman"/>
          <w:color w:val="000000"/>
          <w:lang w:val="hr-HR"/>
        </w:rPr>
        <w:tab/>
        <w:t>Novčanim kaznama u visini od 500,00 EUR kaznit će se pravna osoba za prekršaj iz:</w:t>
      </w:r>
    </w:p>
    <w:p>
      <w:pPr>
        <w:pStyle w:val="ListParagraph"/>
        <w:numPr>
          <w:ilvl w:val="0"/>
          <w:numId w:val="6"/>
        </w:numPr>
        <w:jc w:val="both"/>
        <w:rPr>
          <w:rFonts w:ascii="Times New Roman" w:hAnsi="Times New Roman"/>
        </w:rPr>
      </w:pPr>
      <w:r>
        <w:rPr>
          <w:rFonts w:ascii="Times New Roman" w:hAnsi="Times New Roman"/>
          <w:color w:val="000000"/>
          <w:lang w:val="hr-HR"/>
        </w:rPr>
        <w:t>članak 5. ove Odluke,</w:t>
      </w:r>
    </w:p>
    <w:p>
      <w:pPr>
        <w:pStyle w:val="ListParagraph"/>
        <w:numPr>
          <w:ilvl w:val="0"/>
          <w:numId w:val="6"/>
        </w:numPr>
        <w:jc w:val="both"/>
        <w:rPr>
          <w:rFonts w:ascii="Times New Roman" w:hAnsi="Times New Roman"/>
        </w:rPr>
      </w:pPr>
      <w:r>
        <w:rPr>
          <w:rFonts w:ascii="Times New Roman" w:hAnsi="Times New Roman"/>
          <w:color w:val="000000"/>
          <w:lang w:val="hr-HR"/>
        </w:rPr>
        <w:t>članak 9. alineje 3. ove Odluke,</w:t>
      </w:r>
    </w:p>
    <w:p>
      <w:pPr>
        <w:pStyle w:val="ListParagraph"/>
        <w:numPr>
          <w:ilvl w:val="0"/>
          <w:numId w:val="6"/>
        </w:numPr>
        <w:jc w:val="both"/>
        <w:rPr>
          <w:rFonts w:ascii="Times New Roman" w:hAnsi="Times New Roman"/>
        </w:rPr>
      </w:pPr>
      <w:r>
        <w:rPr>
          <w:rFonts w:ascii="Times New Roman" w:hAnsi="Times New Roman"/>
          <w:color w:val="000000"/>
          <w:lang w:val="hr-HR"/>
        </w:rPr>
        <w:t>članka 11. i 12. ove Odluke,</w:t>
      </w:r>
    </w:p>
    <w:p>
      <w:pPr>
        <w:pStyle w:val="ListParagraph"/>
        <w:numPr>
          <w:ilvl w:val="0"/>
          <w:numId w:val="6"/>
        </w:numPr>
        <w:jc w:val="both"/>
        <w:rPr>
          <w:rFonts w:ascii="Times New Roman" w:hAnsi="Times New Roman"/>
        </w:rPr>
      </w:pPr>
      <w:r>
        <w:rPr>
          <w:rFonts w:ascii="Times New Roman" w:hAnsi="Times New Roman"/>
          <w:color w:val="000000"/>
          <w:lang w:val="hr-HR"/>
        </w:rPr>
        <w:t>članka 14. ove Odluke,</w:t>
      </w:r>
    </w:p>
    <w:p>
      <w:pPr>
        <w:pStyle w:val="ListParagraph"/>
        <w:numPr>
          <w:ilvl w:val="0"/>
          <w:numId w:val="6"/>
        </w:numPr>
        <w:jc w:val="both"/>
        <w:rPr>
          <w:rFonts w:ascii="Times New Roman" w:hAnsi="Times New Roman"/>
        </w:rPr>
      </w:pPr>
      <w:r>
        <w:rPr>
          <w:rFonts w:ascii="Times New Roman" w:hAnsi="Times New Roman"/>
          <w:lang w:val="hr-HR"/>
        </w:rPr>
        <w:t>članka 18. do 22. ove Odluke,</w:t>
      </w:r>
    </w:p>
    <w:p>
      <w:pPr>
        <w:pStyle w:val="ListParagraph"/>
        <w:numPr>
          <w:ilvl w:val="0"/>
          <w:numId w:val="6"/>
        </w:numPr>
        <w:jc w:val="both"/>
        <w:rPr>
          <w:rFonts w:ascii="Times New Roman" w:hAnsi="Times New Roman"/>
        </w:rPr>
      </w:pPr>
      <w:r>
        <w:rPr>
          <w:rFonts w:ascii="Times New Roman" w:hAnsi="Times New Roman"/>
          <w:lang w:val="hr-HR"/>
        </w:rPr>
        <w:t>članka 32. ove Odluke,</w:t>
      </w:r>
    </w:p>
    <w:p>
      <w:pPr>
        <w:pStyle w:val="ListParagraph"/>
        <w:numPr>
          <w:ilvl w:val="0"/>
          <w:numId w:val="6"/>
        </w:numPr>
        <w:jc w:val="both"/>
        <w:rPr>
          <w:rFonts w:ascii="Times New Roman" w:hAnsi="Times New Roman"/>
        </w:rPr>
      </w:pPr>
      <w:r>
        <w:rPr>
          <w:rFonts w:ascii="Times New Roman" w:hAnsi="Times New Roman"/>
          <w:lang w:val="hr-HR"/>
        </w:rPr>
        <w:t>ako ometa komunalnog redara u obavljanju njegove dužnosti,</w:t>
      </w:r>
    </w:p>
    <w:p>
      <w:pPr>
        <w:pStyle w:val="ListParagraph"/>
        <w:numPr>
          <w:ilvl w:val="0"/>
          <w:numId w:val="6"/>
        </w:numPr>
        <w:jc w:val="both"/>
        <w:rPr>
          <w:rFonts w:ascii="Times New Roman" w:hAnsi="Times New Roman"/>
        </w:rPr>
      </w:pPr>
      <w:r>
        <w:rPr>
          <w:rFonts w:ascii="Times New Roman" w:hAnsi="Times New Roman"/>
          <w:lang w:val="hr-HR"/>
        </w:rPr>
        <w:t>ako ne postupa po uputi i rješenju komunalnog redara.</w:t>
      </w:r>
    </w:p>
    <w:p>
      <w:pPr>
        <w:pStyle w:val="Normal"/>
        <w:jc w:val="both"/>
        <w:rPr>
          <w:rFonts w:ascii="Times New Roman" w:hAnsi="Times New Roman"/>
        </w:rPr>
      </w:pPr>
      <w:r>
        <w:rPr>
          <w:rFonts w:ascii="Times New Roman" w:hAnsi="Times New Roman"/>
          <w:color w:val="000000"/>
          <w:lang w:val="hr-HR"/>
        </w:rPr>
        <w:tab/>
        <w:t>Za prekršaj iz stavka 1. ovog članka novčanom kaznom u visini od 100,00 EUR kaznit će se odgovorna osoba u pravnoj osobi.</w:t>
      </w:r>
    </w:p>
    <w:p>
      <w:pPr>
        <w:pStyle w:val="Normal"/>
        <w:jc w:val="both"/>
        <w:rPr>
          <w:rFonts w:ascii="Times New Roman" w:hAnsi="Times New Roman"/>
          <w:color w:val="000000"/>
          <w:lang w:val="hr-HR"/>
        </w:rPr>
      </w:pPr>
      <w:r>
        <w:rPr>
          <w:rFonts w:ascii="Times New Roman" w:hAnsi="Times New Roman"/>
          <w:color w:val="000000"/>
          <w:lang w:val="hr-HR"/>
        </w:rPr>
      </w:r>
      <w:bookmarkStart w:id="0" w:name="_GoBack"/>
      <w:bookmarkStart w:id="1" w:name="_GoBack"/>
      <w:bookmarkEnd w:id="1"/>
    </w:p>
    <w:p>
      <w:pPr>
        <w:pStyle w:val="Normal"/>
        <w:jc w:val="center"/>
        <w:rPr>
          <w:rFonts w:ascii="Times New Roman" w:hAnsi="Times New Roman"/>
        </w:rPr>
      </w:pPr>
      <w:r>
        <w:rPr>
          <w:rFonts w:ascii="Times New Roman" w:hAnsi="Times New Roman"/>
          <w:b/>
          <w:color w:val="000000"/>
          <w:lang w:val="hr-HR"/>
        </w:rPr>
        <w:t>Članak 47.</w:t>
      </w:r>
    </w:p>
    <w:p>
      <w:pPr>
        <w:pStyle w:val="Normal"/>
        <w:jc w:val="both"/>
        <w:rPr>
          <w:rFonts w:ascii="Times New Roman" w:hAnsi="Times New Roman"/>
        </w:rPr>
      </w:pPr>
      <w:r>
        <w:rPr>
          <w:rFonts w:ascii="Times New Roman" w:hAnsi="Times New Roman"/>
          <w:color w:val="000000"/>
          <w:lang w:val="hr-HR"/>
        </w:rPr>
        <w:tab/>
        <w:t>Uz naredbu za poduzimanje potrebnih radnji za uspostavu komunalnog reda, komunalni redar je ovlašten na licu mjesta izreći novčanu kaznu fizičkoj osobi u visini od 100,00 EUR, ako počini prekršaj iz članka 46. stavka 1. točke 1., 3., 4., 5., 6., 7., 8. ove Odluke, ako se odredbe odnose na fizičke osobe.</w:t>
      </w:r>
    </w:p>
    <w:p>
      <w:pPr>
        <w:pStyle w:val="Normal"/>
        <w:jc w:val="both"/>
        <w:rPr>
          <w:rFonts w:ascii="Times New Roman" w:hAnsi="Times New Roman"/>
        </w:rPr>
      </w:pPr>
      <w:r>
        <w:rPr>
          <w:rFonts w:ascii="Times New Roman" w:hAnsi="Times New Roman"/>
          <w:color w:val="000000"/>
          <w:lang w:val="hr-HR"/>
        </w:rPr>
        <w:tab/>
        <w:t>Novčanom kaznom iz stavka 1. ovog članka će se kazniti odmah na licu mjesta fizičke osobe, ako se ne pridržava odredbi članka 5. i članka 9., alineje 1. ove Odluke.</w:t>
      </w:r>
    </w:p>
    <w:p>
      <w:pPr>
        <w:pStyle w:val="Normal"/>
        <w:jc w:val="both"/>
        <w:rPr>
          <w:rFonts w:ascii="Times New Roman" w:hAnsi="Times New Roman"/>
        </w:rPr>
      </w:pPr>
      <w:r>
        <w:rPr>
          <w:rFonts w:ascii="Times New Roman" w:hAnsi="Times New Roman"/>
          <w:lang w:val="hr-HR"/>
        </w:rPr>
        <w:tab/>
        <w:t>Novčanu kaznu iz stavka 1. i 2. ovog članka naplaćuje komunalni redar.</w:t>
      </w:r>
    </w:p>
    <w:p>
      <w:pPr>
        <w:pStyle w:val="Normal"/>
        <w:rPr>
          <w:rFonts w:ascii="Times New Roman" w:hAnsi="Times New Roman"/>
          <w:lang w:val="hr-HR"/>
        </w:rPr>
      </w:pPr>
      <w:r>
        <w:rPr>
          <w:rFonts w:ascii="Times New Roman" w:hAnsi="Times New Roman"/>
          <w:lang w:val="hr-HR"/>
        </w:rPr>
      </w:r>
    </w:p>
    <w:p>
      <w:pPr>
        <w:pStyle w:val="Normal"/>
        <w:rPr>
          <w:rFonts w:ascii="Times New Roman" w:hAnsi="Times New Roman"/>
        </w:rPr>
      </w:pPr>
      <w:r>
        <w:rPr>
          <w:rFonts w:ascii="Times New Roman" w:hAnsi="Times New Roman"/>
          <w:b/>
          <w:lang w:val="hr-HR"/>
        </w:rPr>
        <w:t>V. ZAVRŠNA ODREDBA</w:t>
      </w:r>
    </w:p>
    <w:p>
      <w:pPr>
        <w:pStyle w:val="Normal"/>
        <w:jc w:val="center"/>
        <w:rPr>
          <w:rFonts w:ascii="Times New Roman" w:hAnsi="Times New Roman"/>
        </w:rPr>
      </w:pPr>
      <w:r>
        <w:rPr>
          <w:rFonts w:ascii="Times New Roman" w:hAnsi="Times New Roman"/>
          <w:b/>
          <w:color w:val="000000"/>
          <w:lang w:val="hr-HR"/>
        </w:rPr>
        <w:t>Članak 48.</w:t>
      </w:r>
    </w:p>
    <w:p>
      <w:pPr>
        <w:pStyle w:val="Normal"/>
        <w:jc w:val="both"/>
        <w:rPr>
          <w:rFonts w:ascii="Times New Roman" w:hAnsi="Times New Roman"/>
        </w:rPr>
      </w:pPr>
      <w:r>
        <w:rPr>
          <w:rFonts w:ascii="Times New Roman" w:hAnsi="Times New Roman"/>
          <w:b w:val="false"/>
          <w:bCs w:val="false"/>
          <w:color w:val="000000"/>
          <w:lang w:val="hr-HR"/>
        </w:rPr>
        <w:tab/>
        <w:t>Stupanjem na snagu ove Odluke stavlja se van snage Odluka o komunalnom redu (KLASA: 363-01/22-01/06, URBROJ: 2196-19-02-22-01, od 15.06.2022. godine).</w:t>
      </w:r>
    </w:p>
    <w:p>
      <w:pPr>
        <w:pStyle w:val="Normal"/>
        <w:jc w:val="center"/>
        <w:rPr>
          <w:rFonts w:ascii="Times New Roman" w:hAnsi="Times New Roman"/>
          <w:color w:val="000000"/>
        </w:rPr>
      </w:pPr>
      <w:r>
        <w:rPr>
          <w:rFonts w:ascii="Times New Roman" w:hAnsi="Times New Roman"/>
          <w:color w:val="000000"/>
        </w:rPr>
      </w:r>
    </w:p>
    <w:p>
      <w:pPr>
        <w:pStyle w:val="Normal"/>
        <w:jc w:val="center"/>
        <w:rPr>
          <w:rFonts w:ascii="Times New Roman" w:hAnsi="Times New Roman"/>
        </w:rPr>
      </w:pPr>
      <w:r>
        <w:rPr>
          <w:rFonts w:ascii="Times New Roman" w:hAnsi="Times New Roman"/>
          <w:b/>
          <w:color w:val="000000"/>
          <w:lang w:val="hr-HR"/>
        </w:rPr>
        <w:t>Članak 49.</w:t>
      </w:r>
    </w:p>
    <w:p>
      <w:pPr>
        <w:pStyle w:val="Normal"/>
        <w:jc w:val="both"/>
        <w:rPr>
          <w:rFonts w:ascii="Times New Roman" w:hAnsi="Times New Roman"/>
        </w:rPr>
      </w:pPr>
      <w:r>
        <w:rPr>
          <w:rFonts w:ascii="Times New Roman" w:hAnsi="Times New Roman"/>
          <w:color w:val="000000"/>
          <w:lang w:val="hr-HR"/>
        </w:rPr>
        <w:tab/>
        <w:t>Ova Odluka stupa na snagu osmog dana od dana objave u Službenom glasniku Općine Negoslavci, a objavit će se i na oglasnoj ploči Općine Negoslavci.</w:t>
      </w:r>
    </w:p>
    <w:p>
      <w:pPr>
        <w:pStyle w:val="Normal"/>
        <w:jc w:val="both"/>
        <w:rPr>
          <w:rFonts w:ascii="Times New Roman" w:hAnsi="Times New Roman"/>
          <w:color w:val="000000"/>
          <w:lang w:val="hr-HR"/>
        </w:rPr>
      </w:pPr>
      <w:r>
        <w:rPr>
          <w:rFonts w:ascii="Times New Roman" w:hAnsi="Times New Roman"/>
          <w:color w:val="000000"/>
          <w:lang w:val="hr-HR"/>
        </w:rPr>
      </w:r>
    </w:p>
    <w:p>
      <w:pPr>
        <w:pStyle w:val="Normal"/>
        <w:jc w:val="both"/>
        <w:rPr>
          <w:rFonts w:ascii="Times New Roman" w:hAnsi="Times New Roman"/>
          <w:color w:val="000000"/>
          <w:lang w:val="hr-HR"/>
        </w:rPr>
      </w:pPr>
      <w:r>
        <w:rPr>
          <w:rFonts w:ascii="Times New Roman" w:hAnsi="Times New Roman"/>
          <w:color w:val="000000"/>
          <w:lang w:val="hr-HR"/>
        </w:rPr>
        <w:t>KLASA: 363-01/22-01/06</w:t>
      </w:r>
    </w:p>
    <w:p>
      <w:pPr>
        <w:pStyle w:val="Normal"/>
        <w:jc w:val="both"/>
        <w:rPr>
          <w:rFonts w:ascii="Times New Roman" w:hAnsi="Times New Roman"/>
          <w:color w:val="000000"/>
          <w:lang w:val="hr-HR"/>
        </w:rPr>
      </w:pPr>
      <w:r>
        <w:rPr>
          <w:rFonts w:ascii="Times New Roman" w:hAnsi="Times New Roman"/>
          <w:color w:val="000000"/>
          <w:lang w:val="hr-HR"/>
        </w:rPr>
        <w:t>URBROJ: 2196-19-02-26-03</w:t>
      </w:r>
    </w:p>
    <w:p>
      <w:pPr>
        <w:pStyle w:val="Normal"/>
        <w:jc w:val="both"/>
        <w:rPr>
          <w:rFonts w:ascii="Times New Roman" w:hAnsi="Times New Roman"/>
          <w:color w:val="000000"/>
          <w:lang w:val="hr-HR"/>
        </w:rPr>
      </w:pPr>
      <w:r>
        <w:rPr>
          <w:rFonts w:ascii="Times New Roman" w:hAnsi="Times New Roman"/>
          <w:color w:val="000000"/>
          <w:lang w:val="hr-HR"/>
        </w:rPr>
        <w:t>Negoslavci, 24. rujna 2026.</w:t>
      </w:r>
    </w:p>
    <w:p>
      <w:pPr>
        <w:pStyle w:val="Normal"/>
        <w:jc w:val="both"/>
        <w:rPr>
          <w:rFonts w:ascii="Times New Roman" w:hAnsi="Times New Roman"/>
          <w:lang w:val="hr-HR"/>
        </w:rPr>
      </w:pPr>
      <w:r>
        <w:rPr>
          <w:rFonts w:ascii="Times New Roman" w:hAnsi="Times New Roman"/>
          <w:lang w:val="hr-HR"/>
        </w:rPr>
      </w:r>
    </w:p>
    <w:p>
      <w:pPr>
        <w:pStyle w:val="Normal"/>
        <w:jc w:val="center"/>
        <w:rPr>
          <w:rFonts w:ascii="Times New Roman" w:hAnsi="Times New Roman"/>
        </w:rPr>
      </w:pPr>
      <w:r>
        <w:rPr>
          <w:rFonts w:ascii="Times New Roman" w:hAnsi="Times New Roman"/>
          <w:b/>
          <w:lang w:val="hr-HR"/>
        </w:rPr>
        <w:t>PREDSJEDNIK OPĆINSKOG VIJEĆA:</w:t>
      </w:r>
    </w:p>
    <w:p>
      <w:pPr>
        <w:pStyle w:val="Normal"/>
        <w:jc w:val="center"/>
        <w:rPr>
          <w:rFonts w:ascii="Times New Roman" w:hAnsi="Times New Roman"/>
        </w:rPr>
      </w:pPr>
      <w:r>
        <w:rPr>
          <w:rFonts w:ascii="Times New Roman" w:hAnsi="Times New Roman"/>
          <w:lang w:val="hr-HR"/>
        </w:rPr>
        <w:t>Miodrag Mišanović</w:t>
      </w:r>
    </w:p>
    <w:p>
      <w:pPr>
        <w:pStyle w:val="Normal"/>
        <w:jc w:val="center"/>
        <w:rPr>
          <w:rFonts w:ascii="Times New Roman" w:hAnsi="Times New Roman"/>
        </w:rPr>
      </w:pPr>
      <w:r>
        <w:rPr>
          <w:rFonts w:ascii="Times New Roman" w:hAnsi="Times New Roman"/>
          <w:lang w:val="hr-HR"/>
        </w:rPr>
        <w:drawing>
          <wp:inline distT="0" distB="0" distL="0" distR="0">
            <wp:extent cx="5761355" cy="36830"/>
            <wp:effectExtent l="0" t="0" r="0" b="0"/>
            <wp:docPr id="7" name="Slika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ka7" descr=""/>
                    <pic:cNvPicPr>
                      <a:picLocks noChangeAspect="1" noChangeArrowheads="1"/>
                    </pic:cNvPicPr>
                  </pic:nvPicPr>
                  <pic:blipFill>
                    <a:blip r:embed="rId9"/>
                    <a:stretch>
                      <a:fillRect/>
                    </a:stretch>
                  </pic:blipFill>
                  <pic:spPr bwMode="auto">
                    <a:xfrm>
                      <a:off x="0" y="0"/>
                      <a:ext cx="5761355" cy="36830"/>
                    </a:xfrm>
                    <a:prstGeom prst="rect">
                      <a:avLst/>
                    </a:prstGeom>
                  </pic:spPr>
                </pic:pic>
              </a:graphicData>
            </a:graphic>
          </wp:inline>
        </w:drawing>
      </w:r>
    </w:p>
    <w:p>
      <w:pPr>
        <w:pStyle w:val="Normal"/>
        <w:rPr>
          <w:rFonts w:ascii="Times New Roman" w:hAnsi="Times New Roman"/>
          <w:lang w:val="hr-HR"/>
        </w:rPr>
      </w:pPr>
      <w:r>
        <w:rPr>
          <w:rFonts w:ascii="Times New Roman" w:hAnsi="Times New Roman"/>
          <w:lang w:val="hr-HR"/>
        </w:rPr>
      </w:r>
    </w:p>
    <w:p>
      <w:pPr>
        <w:pStyle w:val="Normal"/>
        <w:rPr>
          <w:rFonts w:ascii="Times New Roman" w:hAnsi="Times New Roman"/>
          <w:lang w:val="hr-HR"/>
        </w:rPr>
      </w:pPr>
      <w:r>
        <w:rPr>
          <w:rFonts w:ascii="Times New Roman" w:hAnsi="Times New Roman"/>
          <w:lang w:val="hr-HR"/>
        </w:rPr>
      </w:r>
    </w:p>
    <w:p>
      <w:pPr>
        <w:pStyle w:val="Normal"/>
        <w:rPr>
          <w:rFonts w:ascii="Times New Roman" w:hAnsi="Times New Roman"/>
          <w:lang w:val="hr-HR"/>
        </w:rPr>
      </w:pPr>
      <w:r>
        <w:rPr>
          <w:rFonts w:ascii="Times New Roman" w:hAnsi="Times New Roman"/>
          <w:lang w:val="hr-HR"/>
        </w:rPr>
      </w:r>
    </w:p>
    <w:p>
      <w:pPr>
        <w:pStyle w:val="Normal"/>
        <w:rPr>
          <w:rFonts w:ascii="Times New Roman" w:hAnsi="Times New Roman"/>
          <w:lang w:val="hr-HR"/>
        </w:rPr>
      </w:pPr>
      <w:r>
        <w:rPr>
          <w:rFonts w:ascii="Times New Roman" w:hAnsi="Times New Roman"/>
          <w:lang w:val="hr-HR"/>
        </w:rPr>
      </w:r>
    </w:p>
    <w:p>
      <w:pPr>
        <w:pStyle w:val="Normal"/>
        <w:rPr>
          <w:rFonts w:ascii="Times New Roman" w:hAnsi="Times New Roman"/>
          <w:lang w:val="hr-HR"/>
        </w:rPr>
      </w:pPr>
      <w:r>
        <w:rPr>
          <w:rFonts w:ascii="Times New Roman" w:hAnsi="Times New Roman"/>
          <w:lang w:val="hr-HR"/>
        </w:rPr>
      </w:r>
    </w:p>
    <w:p>
      <w:pPr>
        <w:pStyle w:val="Normal"/>
        <w:rPr>
          <w:rFonts w:ascii="Times New Roman" w:hAnsi="Times New Roman"/>
          <w:lang w:val="hr-HR"/>
        </w:rPr>
      </w:pPr>
      <w:r>
        <w:rPr>
          <w:rFonts w:ascii="Times New Roman" w:hAnsi="Times New Roman"/>
          <w:lang w:val="hr-HR"/>
        </w:rPr>
      </w:r>
    </w:p>
    <w:p>
      <w:pPr>
        <w:pStyle w:val="Normal"/>
        <w:rPr>
          <w:rFonts w:ascii="Times New Roman" w:hAnsi="Times New Roman"/>
          <w:lang w:val="hr-HR"/>
        </w:rPr>
      </w:pPr>
      <w:r>
        <w:rPr>
          <w:rFonts w:ascii="Times New Roman" w:hAnsi="Times New Roman"/>
          <w:lang w:val="hr-HR"/>
        </w:rPr>
      </w:r>
    </w:p>
    <w:p>
      <w:pPr>
        <w:pStyle w:val="Normal"/>
        <w:rPr>
          <w:rFonts w:ascii="Times New Roman" w:hAnsi="Times New Roman"/>
          <w:lang w:val="hr-HR"/>
        </w:rPr>
      </w:pPr>
      <w:r>
        <w:rPr>
          <w:rFonts w:ascii="Times New Roman" w:hAnsi="Times New Roman"/>
          <w:lang w:val="hr-HR"/>
        </w:rPr>
      </w:r>
    </w:p>
    <w:p>
      <w:pPr>
        <w:pStyle w:val="Normal"/>
        <w:rPr>
          <w:rFonts w:ascii="Times New Roman" w:hAnsi="Times New Roman"/>
          <w:lang w:val="hr-HR"/>
        </w:rPr>
      </w:pPr>
      <w:r>
        <w:rPr>
          <w:rFonts w:ascii="Times New Roman" w:hAnsi="Times New Roman"/>
          <w:lang w:val="hr-HR"/>
        </w:rPr>
      </w:r>
    </w:p>
    <w:p>
      <w:pPr>
        <w:pStyle w:val="Normal"/>
        <w:rPr>
          <w:rFonts w:ascii="Times New Roman" w:hAnsi="Times New Roman"/>
          <w:lang w:val="hr-HR"/>
        </w:rPr>
      </w:pPr>
      <w:r>
        <w:rPr>
          <w:rFonts w:ascii="Times New Roman" w:hAnsi="Times New Roman"/>
          <w:lang w:val="hr-HR"/>
        </w:rPr>
      </w:r>
    </w:p>
    <w:p>
      <w:pPr>
        <w:pStyle w:val="Normal"/>
        <w:rPr>
          <w:rFonts w:ascii="Times New Roman" w:hAnsi="Times New Roman"/>
          <w:lang w:val="hr-HR"/>
        </w:rPr>
      </w:pPr>
      <w:r>
        <w:rPr>
          <w:rFonts w:ascii="Times New Roman" w:hAnsi="Times New Roman"/>
          <w:lang w:val="hr-HR"/>
        </w:rPr>
      </w:r>
    </w:p>
    <w:p>
      <w:pPr>
        <w:pStyle w:val="Normal"/>
        <w:rPr>
          <w:rFonts w:ascii="Times New Roman" w:hAnsi="Times New Roman"/>
          <w:lang w:val="hr-HR"/>
        </w:rPr>
      </w:pPr>
      <w:r>
        <w:rPr>
          <w:rFonts w:ascii="Times New Roman" w:hAnsi="Times New Roman"/>
          <w:lang w:val="hr-HR"/>
        </w:rPr>
      </w:r>
    </w:p>
    <w:p>
      <w:pPr>
        <w:pStyle w:val="Normal"/>
        <w:rPr>
          <w:rFonts w:ascii="Times New Roman" w:hAnsi="Times New Roman"/>
          <w:lang w:val="hr-HR"/>
        </w:rPr>
      </w:pPr>
      <w:r>
        <w:rPr>
          <w:rFonts w:ascii="Times New Roman" w:hAnsi="Times New Roman"/>
          <w:lang w:val="hr-HR"/>
        </w:rPr>
      </w:r>
    </w:p>
    <w:p>
      <w:pPr>
        <w:pStyle w:val="Normal"/>
        <w:rPr>
          <w:rFonts w:ascii="Times New Roman" w:hAnsi="Times New Roman"/>
          <w:lang w:val="hr-HR"/>
        </w:rPr>
      </w:pPr>
      <w:r>
        <w:rPr>
          <w:rFonts w:ascii="Times New Roman" w:hAnsi="Times New Roman"/>
          <w:lang w:val="hr-HR"/>
        </w:rPr>
      </w:r>
    </w:p>
    <w:p>
      <w:pPr>
        <w:pStyle w:val="Normal"/>
        <w:rPr>
          <w:rFonts w:ascii="Times New Roman" w:hAnsi="Times New Roman"/>
          <w:lang w:val="hr-HR"/>
        </w:rPr>
      </w:pPr>
      <w:r>
        <w:rPr>
          <w:rFonts w:ascii="Times New Roman" w:hAnsi="Times New Roman"/>
          <w:lang w:val="hr-HR"/>
        </w:rPr>
      </w:r>
    </w:p>
    <w:p>
      <w:pPr>
        <w:pStyle w:val="Normal"/>
        <w:rPr>
          <w:rFonts w:ascii="Times New Roman" w:hAnsi="Times New Roman"/>
          <w:lang w:val="hr-HR"/>
        </w:rPr>
      </w:pPr>
      <w:r>
        <w:rPr>
          <w:rFonts w:ascii="Times New Roman" w:hAnsi="Times New Roman"/>
          <w:lang w:val="hr-HR"/>
        </w:rPr>
      </w:r>
    </w:p>
    <w:p>
      <w:pPr>
        <w:pStyle w:val="Normal"/>
        <w:rPr>
          <w:rFonts w:ascii="Times New Roman" w:hAnsi="Times New Roman"/>
          <w:lang w:val="hr-HR"/>
        </w:rPr>
      </w:pPr>
      <w:r>
        <w:rPr>
          <w:rFonts w:ascii="Times New Roman" w:hAnsi="Times New Roman"/>
          <w:lang w:val="hr-HR"/>
        </w:rPr>
      </w:r>
    </w:p>
    <w:p>
      <w:pPr>
        <w:pStyle w:val="Normal"/>
        <w:rPr>
          <w:rFonts w:ascii="Times New Roman" w:hAnsi="Times New Roman"/>
          <w:lang w:val="hr-HR"/>
        </w:rPr>
      </w:pPr>
      <w:r>
        <w:rPr>
          <w:rFonts w:ascii="Times New Roman" w:hAnsi="Times New Roman"/>
          <w:lang w:val="hr-HR"/>
        </w:rPr>
      </w:r>
    </w:p>
    <w:p>
      <w:pPr>
        <w:pStyle w:val="Normal"/>
        <w:rPr>
          <w:rFonts w:ascii="Times New Roman" w:hAnsi="Times New Roman"/>
          <w:lang w:val="hr-HR"/>
        </w:rPr>
      </w:pPr>
      <w:r>
        <w:rPr>
          <w:rFonts w:ascii="Times New Roman" w:hAnsi="Times New Roman"/>
          <w:lang w:val="hr-HR"/>
        </w:rPr>
      </w:r>
    </w:p>
    <w:p>
      <w:pPr>
        <w:pStyle w:val="Normal"/>
        <w:rPr>
          <w:rFonts w:ascii="Times New Roman" w:hAnsi="Times New Roman"/>
          <w:lang w:val="hr-HR"/>
        </w:rPr>
      </w:pPr>
      <w:r>
        <w:rPr>
          <w:rFonts w:ascii="Times New Roman" w:hAnsi="Times New Roman"/>
          <w:lang w:val="hr-HR"/>
        </w:rPr>
      </w:r>
    </w:p>
    <w:p>
      <w:pPr>
        <w:pStyle w:val="Normal"/>
        <w:rPr>
          <w:rFonts w:ascii="Times New Roman" w:hAnsi="Times New Roman"/>
          <w:lang w:val="hr-HR"/>
        </w:rPr>
      </w:pPr>
      <w:r>
        <w:rPr>
          <w:rFonts w:ascii="Times New Roman" w:hAnsi="Times New Roman"/>
          <w:lang w:val="hr-HR"/>
        </w:rPr>
      </w:r>
    </w:p>
    <w:p>
      <w:pPr>
        <w:pStyle w:val="Normal"/>
        <w:rPr>
          <w:rFonts w:ascii="Times New Roman" w:hAnsi="Times New Roman"/>
          <w:lang w:val="hr-HR"/>
        </w:rPr>
      </w:pPr>
      <w:r>
        <w:rPr>
          <w:rFonts w:ascii="Times New Roman" w:hAnsi="Times New Roman"/>
          <w:lang w:val="hr-HR"/>
        </w:rPr>
      </w:r>
    </w:p>
    <w:p>
      <w:pPr>
        <w:pStyle w:val="Normal"/>
        <w:rPr>
          <w:rFonts w:ascii="Times New Roman" w:hAnsi="Times New Roman"/>
          <w:lang w:val="hr-HR"/>
        </w:rPr>
      </w:pPr>
      <w:r>
        <w:rPr>
          <w:rFonts w:ascii="Times New Roman" w:hAnsi="Times New Roman"/>
          <w:lang w:val="hr-HR"/>
        </w:rPr>
      </w:r>
    </w:p>
    <w:p>
      <w:pPr>
        <w:pStyle w:val="Normal"/>
        <w:rPr>
          <w:rFonts w:ascii="Times New Roman" w:hAnsi="Times New Roman"/>
          <w:lang w:val="hr-HR"/>
        </w:rPr>
      </w:pPr>
      <w:r>
        <w:rPr>
          <w:rFonts w:ascii="Times New Roman" w:hAnsi="Times New Roman"/>
          <w:lang w:val="hr-HR"/>
        </w:rPr>
      </w:r>
    </w:p>
    <w:p>
      <w:pPr>
        <w:pStyle w:val="Normal"/>
        <w:rPr>
          <w:rFonts w:ascii="Times New Roman" w:hAnsi="Times New Roman"/>
          <w:lang w:val="hr-HR"/>
        </w:rPr>
      </w:pPr>
      <w:r>
        <w:rPr>
          <w:rFonts w:ascii="Times New Roman" w:hAnsi="Times New Roman"/>
          <w:lang w:val="hr-HR"/>
        </w:rPr>
      </w:r>
    </w:p>
    <w:p>
      <w:pPr>
        <w:pStyle w:val="Normal"/>
        <w:bidi w:val="0"/>
        <w:jc w:val="both"/>
        <w:rPr>
          <w:rFonts w:ascii="Times New Roman" w:hAnsi="Times New Roman"/>
        </w:rPr>
      </w:pPr>
      <w:r>
        <w:rPr>
          <w:rFonts w:ascii="Times New Roman" w:hAnsi="Times New Roman"/>
          <w:b w:val="false"/>
          <w:bCs w:val="false"/>
        </w:rPr>
        <w:tab/>
        <w:t>Na temelju članka 113. Zakona o gospodarenju otpadom („Narodne novine” broj 84/21 i 142/23) i članka 19., točke 2. Statuta Općine Negoslavci („Službeni glasnik Općine Negoslavci” broj 4/25), Općinsko vijeće Općine Negoslavci dana 24.09.2026. godine donosi</w:t>
      </w:r>
    </w:p>
    <w:p>
      <w:pPr>
        <w:pStyle w:val="Normal"/>
        <w:bidi w:val="0"/>
        <w:jc w:val="left"/>
        <w:rPr>
          <w:rFonts w:ascii="Times New Roman" w:hAnsi="Times New Roman"/>
          <w:b w:val="false"/>
          <w:b w:val="false"/>
          <w:bCs w:val="false"/>
        </w:rPr>
      </w:pPr>
      <w:r>
        <w:rPr>
          <w:rFonts w:ascii="Times New Roman" w:hAnsi="Times New Roman"/>
          <w:b w:val="false"/>
          <w:bCs w:val="false"/>
        </w:rPr>
      </w:r>
    </w:p>
    <w:p>
      <w:pPr>
        <w:pStyle w:val="Normal"/>
        <w:bidi w:val="0"/>
        <w:jc w:val="center"/>
        <w:rPr>
          <w:rFonts w:ascii="Times New Roman" w:hAnsi="Times New Roman"/>
        </w:rPr>
      </w:pPr>
      <w:r>
        <w:rPr>
          <w:rFonts w:ascii="Times New Roman" w:hAnsi="Times New Roman"/>
          <w:b/>
          <w:bCs/>
        </w:rPr>
        <w:t>ODLUKU</w:t>
      </w:r>
    </w:p>
    <w:p>
      <w:pPr>
        <w:pStyle w:val="Normal"/>
        <w:bidi w:val="0"/>
        <w:jc w:val="center"/>
        <w:rPr>
          <w:rFonts w:ascii="Times New Roman" w:hAnsi="Times New Roman"/>
        </w:rPr>
      </w:pPr>
      <w:r>
        <w:rPr>
          <w:rFonts w:ascii="Times New Roman" w:hAnsi="Times New Roman"/>
          <w:b/>
          <w:bCs/>
        </w:rPr>
        <w:t>o sprječavanju odbacivanja otpada na području Općine Negoslavci</w:t>
      </w:r>
    </w:p>
    <w:p>
      <w:pPr>
        <w:pStyle w:val="Normal"/>
        <w:bidi w:val="0"/>
        <w:jc w:val="center"/>
        <w:rPr>
          <w:rFonts w:ascii="Times New Roman" w:hAnsi="Times New Roman"/>
          <w:b w:val="false"/>
          <w:b w:val="false"/>
          <w:bCs w:val="false"/>
        </w:rPr>
      </w:pPr>
      <w:r>
        <w:rPr>
          <w:rFonts w:ascii="Times New Roman" w:hAnsi="Times New Roman"/>
          <w:b w:val="false"/>
          <w:bCs w:val="false"/>
        </w:rPr>
      </w:r>
    </w:p>
    <w:p>
      <w:pPr>
        <w:pStyle w:val="Normal"/>
        <w:bidi w:val="0"/>
        <w:jc w:val="center"/>
        <w:rPr>
          <w:rFonts w:ascii="Times New Roman" w:hAnsi="Times New Roman"/>
        </w:rPr>
      </w:pPr>
      <w:r>
        <w:rPr>
          <w:rFonts w:ascii="Times New Roman" w:hAnsi="Times New Roman"/>
          <w:b/>
          <w:bCs/>
        </w:rPr>
        <w:t xml:space="preserve">Članak 1. </w:t>
      </w:r>
    </w:p>
    <w:p>
      <w:pPr>
        <w:pStyle w:val="Normal"/>
        <w:bidi w:val="0"/>
        <w:jc w:val="both"/>
        <w:rPr>
          <w:rFonts w:ascii="Times New Roman" w:hAnsi="Times New Roman"/>
        </w:rPr>
      </w:pPr>
      <w:r>
        <w:rPr>
          <w:rFonts w:ascii="Times New Roman" w:hAnsi="Times New Roman"/>
          <w:b w:val="false"/>
          <w:bCs w:val="false"/>
        </w:rPr>
        <w:tab/>
        <w:t>Ovom Odlukom određuju se mjere sprječavanja protuzakonitog odbacivanja i mjere uklanjanja protuzakonito odbačenog otpada na području Općine Negoslavci, a koje uključuju i evidentiranje lokacija protuzakonito odbačenog otpada te uspostavu sustava zaprimanja obavijesti o odbačenom otpadu.</w:t>
      </w:r>
    </w:p>
    <w:p>
      <w:pPr>
        <w:pStyle w:val="Normal"/>
        <w:bidi w:val="0"/>
        <w:jc w:val="both"/>
        <w:rPr>
          <w:rFonts w:ascii="Times New Roman" w:hAnsi="Times New Roman"/>
        </w:rPr>
      </w:pPr>
      <w:r>
        <w:rPr>
          <w:rFonts w:ascii="Times New Roman" w:hAnsi="Times New Roman"/>
        </w:rPr>
      </w:r>
    </w:p>
    <w:p>
      <w:pPr>
        <w:pStyle w:val="Normal"/>
        <w:bidi w:val="0"/>
        <w:jc w:val="center"/>
        <w:rPr>
          <w:rFonts w:ascii="Times New Roman" w:hAnsi="Times New Roman"/>
        </w:rPr>
      </w:pPr>
      <w:r>
        <w:rPr>
          <w:rFonts w:ascii="Times New Roman" w:hAnsi="Times New Roman"/>
          <w:b/>
          <w:bCs/>
        </w:rPr>
        <w:t>Članak 2.</w:t>
      </w:r>
    </w:p>
    <w:p>
      <w:pPr>
        <w:pStyle w:val="Normal"/>
        <w:bidi w:val="0"/>
        <w:jc w:val="both"/>
        <w:rPr>
          <w:rFonts w:ascii="Times New Roman" w:hAnsi="Times New Roman"/>
        </w:rPr>
      </w:pPr>
      <w:r>
        <w:rPr>
          <w:rFonts w:ascii="Times New Roman" w:hAnsi="Times New Roman"/>
          <w:b w:val="false"/>
          <w:bCs w:val="false"/>
        </w:rPr>
        <w:tab/>
        <w:t>Provedbu ove Odluke osigurava komunalni redar Jedinstvenog upravnog odjela Općine Negoslavci (u daljem tekstu: komunalni redar):</w:t>
      </w:r>
    </w:p>
    <w:p>
      <w:pPr>
        <w:pStyle w:val="Normal"/>
        <w:bidi w:val="0"/>
        <w:jc w:val="both"/>
        <w:rPr>
          <w:rFonts w:ascii="Times New Roman" w:hAnsi="Times New Roman"/>
        </w:rPr>
      </w:pPr>
      <w:r>
        <w:rPr>
          <w:rFonts w:ascii="Times New Roman" w:hAnsi="Times New Roman"/>
          <w:b w:val="false"/>
          <w:bCs w:val="false"/>
        </w:rPr>
        <w:t>1. mjerama za sprječavanje protuzakonitog otpada,</w:t>
      </w:r>
    </w:p>
    <w:p>
      <w:pPr>
        <w:pStyle w:val="Normal"/>
        <w:bidi w:val="0"/>
        <w:jc w:val="both"/>
        <w:rPr>
          <w:rFonts w:ascii="Times New Roman" w:hAnsi="Times New Roman"/>
        </w:rPr>
      </w:pPr>
      <w:r>
        <w:rPr>
          <w:rFonts w:ascii="Times New Roman" w:hAnsi="Times New Roman"/>
          <w:b w:val="false"/>
          <w:bCs w:val="false"/>
        </w:rPr>
        <w:t>2. mjerama uklanjanja protuzakonito odbačenog otpada.</w:t>
      </w:r>
    </w:p>
    <w:p>
      <w:pPr>
        <w:pStyle w:val="Normal"/>
        <w:bidi w:val="0"/>
        <w:jc w:val="left"/>
        <w:rPr>
          <w:rFonts w:ascii="Times New Roman" w:hAnsi="Times New Roman"/>
          <w:b w:val="false"/>
          <w:b w:val="false"/>
          <w:bCs w:val="false"/>
        </w:rPr>
      </w:pPr>
      <w:r>
        <w:rPr>
          <w:rFonts w:ascii="Times New Roman" w:hAnsi="Times New Roman"/>
          <w:b w:val="false"/>
          <w:bCs w:val="false"/>
        </w:rPr>
      </w:r>
    </w:p>
    <w:p>
      <w:pPr>
        <w:pStyle w:val="Normal"/>
        <w:bidi w:val="0"/>
        <w:jc w:val="center"/>
        <w:rPr>
          <w:rFonts w:ascii="Times New Roman" w:hAnsi="Times New Roman"/>
        </w:rPr>
      </w:pPr>
      <w:r>
        <w:rPr>
          <w:rFonts w:ascii="Times New Roman" w:hAnsi="Times New Roman"/>
          <w:b/>
          <w:bCs/>
        </w:rPr>
        <w:t xml:space="preserve">Članak 3. </w:t>
      </w:r>
    </w:p>
    <w:p>
      <w:pPr>
        <w:pStyle w:val="Normal"/>
        <w:bidi w:val="0"/>
        <w:jc w:val="both"/>
        <w:rPr>
          <w:rFonts w:ascii="Times New Roman" w:hAnsi="Times New Roman"/>
        </w:rPr>
      </w:pPr>
      <w:r>
        <w:rPr>
          <w:rFonts w:ascii="Times New Roman" w:hAnsi="Times New Roman"/>
          <w:b w:val="false"/>
          <w:bCs w:val="false"/>
        </w:rPr>
        <w:tab/>
        <w:t>Mjere za sprječavanje protuzakonitog odbacivanja otpada uključuju:</w:t>
      </w:r>
    </w:p>
    <w:p>
      <w:pPr>
        <w:pStyle w:val="Normal"/>
        <w:bidi w:val="0"/>
        <w:jc w:val="both"/>
        <w:rPr>
          <w:rFonts w:ascii="Times New Roman" w:hAnsi="Times New Roman"/>
        </w:rPr>
      </w:pPr>
      <w:r>
        <w:rPr>
          <w:rFonts w:ascii="Times New Roman" w:hAnsi="Times New Roman"/>
          <w:b w:val="false"/>
          <w:bCs w:val="false"/>
        </w:rPr>
        <w:t>1. uspostavu sustava za zaprimanje obavijesti o protuzakonito odbačenom otpadu,</w:t>
      </w:r>
    </w:p>
    <w:p>
      <w:pPr>
        <w:pStyle w:val="Normal"/>
        <w:bidi w:val="0"/>
        <w:jc w:val="both"/>
        <w:rPr>
          <w:rFonts w:ascii="Times New Roman" w:hAnsi="Times New Roman"/>
        </w:rPr>
      </w:pPr>
      <w:r>
        <w:rPr>
          <w:rFonts w:ascii="Times New Roman" w:hAnsi="Times New Roman"/>
          <w:b w:val="false"/>
          <w:bCs w:val="false"/>
        </w:rPr>
        <w:t>2. uspostavu sustava evidentiranja lokacija odbačenog otpada,</w:t>
      </w:r>
    </w:p>
    <w:p>
      <w:pPr>
        <w:pStyle w:val="Normal"/>
        <w:bidi w:val="0"/>
        <w:jc w:val="both"/>
        <w:rPr>
          <w:rFonts w:ascii="Times New Roman" w:hAnsi="Times New Roman"/>
        </w:rPr>
      </w:pPr>
      <w:r>
        <w:rPr>
          <w:rFonts w:ascii="Times New Roman" w:hAnsi="Times New Roman"/>
          <w:b w:val="false"/>
          <w:bCs w:val="false"/>
        </w:rPr>
        <w:t>3. provedbu redovitog godišnjeg nadzora područja Općine Negoslavci radi utvrđivanja postojanja odbačenog otpada, a posebno lokacija na kojima je u prethodne dvije godine evidentirano postojanje odbačenog otpada,</w:t>
      </w:r>
    </w:p>
    <w:p>
      <w:pPr>
        <w:pStyle w:val="Normal"/>
        <w:bidi w:val="0"/>
        <w:jc w:val="both"/>
        <w:rPr>
          <w:rFonts w:ascii="Times New Roman" w:hAnsi="Times New Roman"/>
        </w:rPr>
      </w:pPr>
      <w:r>
        <w:rPr>
          <w:rFonts w:ascii="Times New Roman" w:hAnsi="Times New Roman"/>
          <w:b w:val="false"/>
          <w:bCs w:val="false"/>
        </w:rPr>
        <w:t>4. postavu znakova upozorenja o zabrani odbacivanja otpada,</w:t>
      </w:r>
    </w:p>
    <w:p>
      <w:pPr>
        <w:pStyle w:val="Normal"/>
        <w:bidi w:val="0"/>
        <w:jc w:val="both"/>
        <w:rPr>
          <w:rFonts w:ascii="Times New Roman" w:hAnsi="Times New Roman"/>
        </w:rPr>
      </w:pPr>
      <w:r>
        <w:rPr>
          <w:rFonts w:ascii="Times New Roman" w:hAnsi="Times New Roman"/>
          <w:b w:val="false"/>
          <w:bCs w:val="false"/>
        </w:rPr>
        <w:t>5. edukaciju i informiranje građana o načinu zbrinjavanja različitih vrsta otpada u skladu da relevantnim zakonskim odredbama.</w:t>
      </w:r>
    </w:p>
    <w:p>
      <w:pPr>
        <w:pStyle w:val="Normal"/>
        <w:bidi w:val="0"/>
        <w:jc w:val="left"/>
        <w:rPr>
          <w:rFonts w:ascii="Times New Roman" w:hAnsi="Times New Roman"/>
          <w:b w:val="false"/>
          <w:b w:val="false"/>
          <w:bCs w:val="false"/>
        </w:rPr>
      </w:pPr>
      <w:r>
        <w:rPr>
          <w:rFonts w:ascii="Times New Roman" w:hAnsi="Times New Roman"/>
          <w:b w:val="false"/>
          <w:bCs w:val="false"/>
        </w:rPr>
      </w:r>
    </w:p>
    <w:p>
      <w:pPr>
        <w:pStyle w:val="Normal"/>
        <w:bidi w:val="0"/>
        <w:jc w:val="center"/>
        <w:rPr>
          <w:rFonts w:ascii="Times New Roman" w:hAnsi="Times New Roman"/>
        </w:rPr>
      </w:pPr>
      <w:r>
        <w:rPr>
          <w:rFonts w:ascii="Times New Roman" w:hAnsi="Times New Roman"/>
          <w:b/>
          <w:bCs/>
        </w:rPr>
        <w:t xml:space="preserve">Članak 4. </w:t>
      </w:r>
    </w:p>
    <w:p>
      <w:pPr>
        <w:pStyle w:val="Normal"/>
        <w:bidi w:val="0"/>
        <w:jc w:val="left"/>
        <w:rPr>
          <w:rFonts w:ascii="Times New Roman" w:hAnsi="Times New Roman"/>
        </w:rPr>
      </w:pPr>
      <w:r>
        <w:rPr>
          <w:rFonts w:ascii="Times New Roman" w:hAnsi="Times New Roman"/>
          <w:b w:val="false"/>
          <w:bCs w:val="false"/>
        </w:rPr>
        <w:tab/>
        <w:t>Zaprimanje obavijesti nepropisnog odbacivanja otpada vrši se na sljedeći način:</w:t>
      </w:r>
    </w:p>
    <w:p>
      <w:pPr>
        <w:pStyle w:val="Normal"/>
        <w:bidi w:val="0"/>
        <w:jc w:val="both"/>
        <w:rPr>
          <w:rFonts w:ascii="Times New Roman" w:hAnsi="Times New Roman"/>
        </w:rPr>
      </w:pPr>
      <w:r>
        <w:rPr>
          <w:rFonts w:ascii="Times New Roman" w:hAnsi="Times New Roman"/>
          <w:b w:val="false"/>
          <w:bCs w:val="false"/>
        </w:rPr>
        <w:t>- poštom ili osobno na adresu Općina Negoslavci, Vukovarska 7, 32239 Negoslavci,</w:t>
      </w:r>
    </w:p>
    <w:p>
      <w:pPr>
        <w:pStyle w:val="Normal"/>
        <w:bidi w:val="0"/>
        <w:jc w:val="both"/>
        <w:rPr/>
      </w:pPr>
      <w:r>
        <w:rPr>
          <w:rFonts w:ascii="Times New Roman" w:hAnsi="Times New Roman"/>
          <w:b w:val="false"/>
          <w:bCs w:val="false"/>
        </w:rPr>
        <w:t xml:space="preserve">- na e-mail: </w:t>
      </w:r>
      <w:hyperlink r:id="rId10">
        <w:r>
          <w:rPr>
            <w:rStyle w:val="Internetskapoveznica"/>
            <w:rFonts w:ascii="Times New Roman" w:hAnsi="Times New Roman"/>
            <w:b w:val="false"/>
            <w:bCs w:val="false"/>
          </w:rPr>
          <w:t>opcina.negoslavci@gmail.com</w:t>
        </w:r>
      </w:hyperlink>
      <w:r>
        <w:rPr>
          <w:rFonts w:ascii="Times New Roman" w:hAnsi="Times New Roman"/>
          <w:b w:val="false"/>
          <w:bCs w:val="false"/>
        </w:rPr>
        <w:t xml:space="preserve"> putem obrasca, navedeni obrazac prijave protuzakonitog odbačenog otpada se nalazi na web stranici </w:t>
      </w:r>
      <w:hyperlink r:id="rId11">
        <w:r>
          <w:rPr>
            <w:rStyle w:val="Internetskapoveznica"/>
            <w:rFonts w:ascii="Times New Roman" w:hAnsi="Times New Roman"/>
            <w:b w:val="false"/>
            <w:bCs w:val="false"/>
          </w:rPr>
          <w:t>www.opcina-negoslavci.hr</w:t>
        </w:r>
      </w:hyperlink>
      <w:r>
        <w:rPr>
          <w:rFonts w:ascii="Times New Roman" w:hAnsi="Times New Roman"/>
          <w:b w:val="false"/>
          <w:bCs w:val="false"/>
        </w:rPr>
        <w:t>, u za to posebno označenoj rubrici.</w:t>
      </w:r>
    </w:p>
    <w:p>
      <w:pPr>
        <w:pStyle w:val="Normal"/>
        <w:bidi w:val="0"/>
        <w:jc w:val="both"/>
        <w:rPr>
          <w:rFonts w:ascii="Times New Roman" w:hAnsi="Times New Roman"/>
        </w:rPr>
      </w:pPr>
      <w:r>
        <w:rPr>
          <w:rFonts w:ascii="Times New Roman" w:hAnsi="Times New Roman"/>
        </w:rPr>
      </w:r>
    </w:p>
    <w:p>
      <w:pPr>
        <w:pStyle w:val="Normal"/>
        <w:bidi w:val="0"/>
        <w:jc w:val="center"/>
        <w:rPr>
          <w:rFonts w:ascii="Times New Roman" w:hAnsi="Times New Roman"/>
        </w:rPr>
      </w:pPr>
      <w:r>
        <w:rPr>
          <w:rFonts w:ascii="Times New Roman" w:hAnsi="Times New Roman"/>
          <w:b/>
          <w:bCs/>
        </w:rPr>
        <w:t>Članak 5.</w:t>
      </w:r>
    </w:p>
    <w:p>
      <w:pPr>
        <w:pStyle w:val="Normal"/>
        <w:bidi w:val="0"/>
        <w:jc w:val="both"/>
        <w:rPr>
          <w:rFonts w:ascii="Times New Roman" w:hAnsi="Times New Roman"/>
        </w:rPr>
      </w:pPr>
      <w:r>
        <w:rPr>
          <w:rFonts w:ascii="Times New Roman" w:hAnsi="Times New Roman"/>
        </w:rPr>
        <w:tab/>
        <w:t xml:space="preserve">Općina Negoslavci vodi Evidenciju lokacija onečišćenih otpadom. </w:t>
      </w:r>
    </w:p>
    <w:p>
      <w:pPr>
        <w:pStyle w:val="Normal"/>
        <w:bidi w:val="0"/>
        <w:jc w:val="both"/>
        <w:rPr>
          <w:rFonts w:ascii="Times New Roman" w:hAnsi="Times New Roman"/>
        </w:rPr>
      </w:pPr>
      <w:r>
        <w:rPr>
          <w:rFonts w:ascii="Times New Roman" w:hAnsi="Times New Roman"/>
        </w:rPr>
        <w:tab/>
        <w:t xml:space="preserve">U Evidenciji iz stavka 1. ovog članka unose se podaci o lokacijama onečišćenih otpadom, količini otpada, izvršenim nadzorima komunalnog redara, izdanim rješenjima te ostali potrebni podaci. Evidenciju kontinuirano vodi komunalni redar. </w:t>
      </w:r>
    </w:p>
    <w:p>
      <w:pPr>
        <w:pStyle w:val="Normal"/>
        <w:bidi w:val="0"/>
        <w:jc w:val="left"/>
        <w:rPr>
          <w:rFonts w:ascii="Times New Roman" w:hAnsi="Times New Roman"/>
        </w:rPr>
      </w:pPr>
      <w:r>
        <w:rPr>
          <w:rFonts w:ascii="Times New Roman" w:hAnsi="Times New Roman"/>
        </w:rPr>
      </w:r>
    </w:p>
    <w:p>
      <w:pPr>
        <w:pStyle w:val="Normal"/>
        <w:bidi w:val="0"/>
        <w:jc w:val="center"/>
        <w:rPr>
          <w:rFonts w:ascii="Times New Roman" w:hAnsi="Times New Roman"/>
          <w:b/>
          <w:b/>
          <w:bCs/>
        </w:rPr>
      </w:pPr>
      <w:r>
        <w:rPr>
          <w:rFonts w:ascii="Times New Roman" w:hAnsi="Times New Roman"/>
          <w:b/>
          <w:bCs/>
        </w:rPr>
        <w:t xml:space="preserve">Članak 6. </w:t>
      </w:r>
    </w:p>
    <w:p>
      <w:pPr>
        <w:pStyle w:val="Normal"/>
        <w:bidi w:val="0"/>
        <w:jc w:val="both"/>
        <w:rPr>
          <w:rFonts w:ascii="Times New Roman" w:hAnsi="Times New Roman"/>
        </w:rPr>
      </w:pPr>
      <w:r>
        <w:rPr>
          <w:rFonts w:ascii="Times New Roman" w:hAnsi="Times New Roman"/>
          <w:b w:val="false"/>
          <w:bCs w:val="false"/>
        </w:rPr>
        <w:tab/>
        <w:t>Na lokacijama na kojima je u prethodne dvije godine evidentirano postojanje odbačenog otpada provodit će se posebne mjere radi sprječavanja odbacivanja otpada i to:</w:t>
      </w:r>
    </w:p>
    <w:p>
      <w:pPr>
        <w:pStyle w:val="Normal"/>
        <w:bidi w:val="0"/>
        <w:jc w:val="both"/>
        <w:rPr>
          <w:rFonts w:ascii="Times New Roman" w:hAnsi="Times New Roman"/>
        </w:rPr>
      </w:pPr>
      <w:r>
        <w:rPr>
          <w:rFonts w:ascii="Times New Roman" w:hAnsi="Times New Roman"/>
          <w:b w:val="false"/>
          <w:bCs w:val="false"/>
        </w:rPr>
        <w:t>- učestala kontrola lokacija od strane komunalnog redara,</w:t>
      </w:r>
    </w:p>
    <w:p>
      <w:pPr>
        <w:pStyle w:val="Normal"/>
        <w:bidi w:val="0"/>
        <w:jc w:val="both"/>
        <w:rPr>
          <w:rFonts w:ascii="Times New Roman" w:hAnsi="Times New Roman"/>
        </w:rPr>
      </w:pPr>
      <w:r>
        <w:rPr>
          <w:rFonts w:ascii="Times New Roman" w:hAnsi="Times New Roman"/>
          <w:b w:val="false"/>
          <w:bCs w:val="false"/>
        </w:rPr>
        <w:t>- postavljanja znakova upozorenja o zabrani odbacivanja otpada,</w:t>
      </w:r>
    </w:p>
    <w:p>
      <w:pPr>
        <w:pStyle w:val="Normal"/>
        <w:bidi w:val="0"/>
        <w:jc w:val="both"/>
        <w:rPr>
          <w:rFonts w:ascii="Times New Roman" w:hAnsi="Times New Roman"/>
        </w:rPr>
      </w:pPr>
      <w:r>
        <w:rPr>
          <w:rFonts w:ascii="Times New Roman" w:hAnsi="Times New Roman"/>
          <w:b w:val="false"/>
          <w:bCs w:val="false"/>
        </w:rPr>
        <w:t>- objava informiracija o načinu prijave protuzakonito odbačenog otpada,</w:t>
      </w:r>
    </w:p>
    <w:p>
      <w:pPr>
        <w:pStyle w:val="Normal"/>
        <w:bidi w:val="0"/>
        <w:jc w:val="both"/>
        <w:rPr>
          <w:rFonts w:ascii="Times New Roman" w:hAnsi="Times New Roman"/>
        </w:rPr>
      </w:pPr>
      <w:r>
        <w:rPr>
          <w:rFonts w:ascii="Times New Roman" w:hAnsi="Times New Roman"/>
          <w:b w:val="false"/>
          <w:bCs w:val="false"/>
        </w:rPr>
        <w:t>- periodične akcije uklanjanja protuzakonito odbačenog otpada.</w:t>
      </w:r>
    </w:p>
    <w:p>
      <w:pPr>
        <w:pStyle w:val="Normal"/>
        <w:bidi w:val="0"/>
        <w:jc w:val="both"/>
        <w:rPr>
          <w:rFonts w:ascii="Times New Roman" w:hAnsi="Times New Roman"/>
        </w:rPr>
      </w:pPr>
      <w:r>
        <w:rPr>
          <w:rFonts w:ascii="Times New Roman" w:hAnsi="Times New Roman"/>
          <w:b w:val="false"/>
          <w:bCs w:val="false"/>
        </w:rPr>
        <w:tab/>
        <w:t>Na području Općine Negoslavci i dalje će se vršiti edukacija i informiranje stanovnika o načinu zbrinjavanja različitih vrsta otpada u skladu sa zakonskim propisima i općim aktima.</w:t>
      </w:r>
    </w:p>
    <w:p>
      <w:pPr>
        <w:pStyle w:val="Normal"/>
        <w:bidi w:val="0"/>
        <w:jc w:val="left"/>
        <w:rPr>
          <w:rFonts w:ascii="Times New Roman" w:hAnsi="Times New Roman"/>
          <w:b w:val="false"/>
          <w:b w:val="false"/>
          <w:bCs w:val="false"/>
        </w:rPr>
      </w:pPr>
      <w:r>
        <w:rPr>
          <w:rFonts w:ascii="Times New Roman" w:hAnsi="Times New Roman"/>
          <w:b w:val="false"/>
          <w:bCs w:val="false"/>
        </w:rPr>
      </w:r>
    </w:p>
    <w:p>
      <w:pPr>
        <w:pStyle w:val="Normal"/>
        <w:bidi w:val="0"/>
        <w:jc w:val="center"/>
        <w:rPr>
          <w:rFonts w:ascii="Times New Roman" w:hAnsi="Times New Roman"/>
        </w:rPr>
      </w:pPr>
      <w:r>
        <w:rPr>
          <w:rFonts w:ascii="Times New Roman" w:hAnsi="Times New Roman"/>
          <w:b/>
          <w:bCs/>
        </w:rPr>
        <w:t xml:space="preserve">Članak 7. </w:t>
      </w:r>
    </w:p>
    <w:p>
      <w:pPr>
        <w:pStyle w:val="Normal"/>
        <w:bidi w:val="0"/>
        <w:jc w:val="both"/>
        <w:rPr>
          <w:rFonts w:ascii="Times New Roman" w:hAnsi="Times New Roman"/>
        </w:rPr>
      </w:pPr>
      <w:r>
        <w:rPr>
          <w:rFonts w:ascii="Times New Roman" w:hAnsi="Times New Roman"/>
          <w:b w:val="false"/>
          <w:bCs w:val="false"/>
        </w:rPr>
        <w:tab/>
        <w:t>Radi provedbe mjera za uklanjanje protuzakonito odbačenog otpada, komunalni redar ovlašten je rješenjem naložiti vlasniku, odnosno posjedniku nekretnine, ako vlasnik nije poznat, na kojem je protuzakonito odložen otpad uklanjanje tog otpada, odnosno osobi koja sukladno posebnom propisu upravlja određenim područjem (dobrom), ako je otpad odložen na tom području (dobru).</w:t>
      </w:r>
    </w:p>
    <w:p>
      <w:pPr>
        <w:pStyle w:val="Normal"/>
        <w:bidi w:val="0"/>
        <w:jc w:val="both"/>
        <w:rPr>
          <w:rFonts w:ascii="Times New Roman" w:hAnsi="Times New Roman"/>
        </w:rPr>
      </w:pPr>
      <w:r>
        <w:rPr>
          <w:rFonts w:ascii="Times New Roman" w:hAnsi="Times New Roman"/>
          <w:b w:val="false"/>
          <w:bCs w:val="false"/>
        </w:rPr>
        <w:tab/>
        <w:t>Rješenjem iz stavka 1. ovog članka određuje se: lokacija odbačenog otpada, procijenjena količina otpada, obveznik uklanjanja otpada, te obveza uklanjanja</w:t>
      </w:r>
      <w:r>
        <w:rPr>
          <w:rFonts w:ascii="Times New Roman" w:hAnsi="Times New Roman"/>
          <w:b w:val="false"/>
          <w:bCs w:val="false"/>
          <w:color w:val="000000"/>
        </w:rPr>
        <w:t xml:space="preserve"> otpada predajom ovlaštenoj osobi za gospodarenje tom vrstom otpada u roku koji ne može biti duži od </w:t>
      </w:r>
      <w:r>
        <w:rPr>
          <w:rFonts w:ascii="Times New Roman" w:hAnsi="Times New Roman"/>
          <w:b w:val="false"/>
          <w:bCs w:val="false"/>
          <w:color w:val="000000"/>
        </w:rPr>
        <w:t>30</w:t>
      </w:r>
      <w:r>
        <w:rPr>
          <w:rFonts w:ascii="Times New Roman" w:hAnsi="Times New Roman"/>
          <w:b w:val="false"/>
          <w:bCs w:val="false"/>
          <w:color w:val="000000"/>
        </w:rPr>
        <w:t xml:space="preserve"> dana od da</w:t>
      </w:r>
      <w:r>
        <w:rPr>
          <w:rFonts w:ascii="Times New Roman" w:hAnsi="Times New Roman"/>
          <w:b w:val="false"/>
          <w:bCs w:val="false"/>
        </w:rPr>
        <w:t>na zaprimanja rješenja.</w:t>
      </w:r>
    </w:p>
    <w:p>
      <w:pPr>
        <w:pStyle w:val="Normal"/>
        <w:bidi w:val="0"/>
        <w:jc w:val="both"/>
        <w:rPr>
          <w:rFonts w:ascii="Times New Roman" w:hAnsi="Times New Roman"/>
        </w:rPr>
      </w:pPr>
      <w:r>
        <w:rPr>
          <w:rFonts w:ascii="Times New Roman" w:hAnsi="Times New Roman"/>
          <w:b w:val="false"/>
          <w:bCs w:val="false"/>
        </w:rPr>
        <w:tab/>
        <w:t>Istjekom roka određenog rješenjem iz stavka 1. ovog članka komunalni redar utvrđuje ispunjavanje obveza određene rješenjem. Ako komunalni redar utvrdi da obveza određena rješenjem iz stavka 1. ovog članka nije izvršena, Općina Negoslavci dužna je osigurati uklanjanje tog otpada predajom ovlaštenoj osobi za gospodarenje tom vrstom otpada na trošak izvršenika.</w:t>
      </w:r>
    </w:p>
    <w:p>
      <w:pPr>
        <w:pStyle w:val="Normal"/>
        <w:bidi w:val="0"/>
        <w:jc w:val="both"/>
        <w:rPr>
          <w:rFonts w:ascii="Times New Roman" w:hAnsi="Times New Roman"/>
          <w:b w:val="false"/>
          <w:b w:val="false"/>
          <w:bCs w:val="false"/>
        </w:rPr>
      </w:pPr>
      <w:r>
        <w:rPr>
          <w:rFonts w:ascii="Times New Roman" w:hAnsi="Times New Roman"/>
          <w:b w:val="false"/>
          <w:bCs w:val="false"/>
        </w:rPr>
      </w:r>
    </w:p>
    <w:p>
      <w:pPr>
        <w:pStyle w:val="Normal"/>
        <w:bidi w:val="0"/>
        <w:jc w:val="center"/>
        <w:rPr>
          <w:rFonts w:ascii="Times New Roman" w:hAnsi="Times New Roman"/>
        </w:rPr>
      </w:pPr>
      <w:r>
        <w:rPr>
          <w:rFonts w:ascii="Times New Roman" w:hAnsi="Times New Roman"/>
          <w:b/>
          <w:bCs/>
        </w:rPr>
        <w:t>Članak 8.</w:t>
      </w:r>
    </w:p>
    <w:p>
      <w:pPr>
        <w:pStyle w:val="Normal"/>
        <w:bidi w:val="0"/>
        <w:jc w:val="both"/>
        <w:rPr>
          <w:rFonts w:ascii="Times New Roman" w:hAnsi="Times New Roman"/>
        </w:rPr>
      </w:pPr>
      <w:r>
        <w:rPr>
          <w:rFonts w:ascii="Times New Roman" w:hAnsi="Times New Roman"/>
          <w:b w:val="false"/>
          <w:bCs w:val="false"/>
        </w:rPr>
        <w:tab/>
        <w:t>Sredstva za provedbu mjera iz članka 3. i 6. ove Odluke osiguravaju se u proračunu Općine Negoslavci.</w:t>
      </w:r>
    </w:p>
    <w:p>
      <w:pPr>
        <w:pStyle w:val="Normal"/>
        <w:bidi w:val="0"/>
        <w:jc w:val="both"/>
        <w:rPr>
          <w:rFonts w:ascii="Times New Roman" w:hAnsi="Times New Roman"/>
        </w:rPr>
      </w:pPr>
      <w:r>
        <w:rPr>
          <w:rFonts w:ascii="Times New Roman" w:hAnsi="Times New Roman"/>
        </w:rPr>
      </w:r>
    </w:p>
    <w:p>
      <w:pPr>
        <w:pStyle w:val="Normal"/>
        <w:bidi w:val="0"/>
        <w:jc w:val="center"/>
        <w:rPr>
          <w:color w:val="000000"/>
        </w:rPr>
      </w:pPr>
      <w:r>
        <w:rPr>
          <w:rFonts w:ascii="Times New Roman" w:hAnsi="Times New Roman"/>
          <w:b/>
          <w:bCs/>
          <w:color w:val="000000"/>
          <w:lang w:val="hr-HR"/>
        </w:rPr>
        <w:t>Članak 9.</w:t>
      </w:r>
    </w:p>
    <w:p>
      <w:pPr>
        <w:pStyle w:val="Normal"/>
        <w:bidi w:val="0"/>
        <w:jc w:val="both"/>
        <w:rPr>
          <w:color w:val="000000"/>
        </w:rPr>
      </w:pPr>
      <w:r>
        <w:rPr>
          <w:rFonts w:ascii="Times New Roman" w:hAnsi="Times New Roman"/>
          <w:color w:val="000000"/>
          <w:lang w:val="hr-HR"/>
        </w:rPr>
        <w:tab/>
        <w:t>Novčanom kaznom 500,00 EUR kazniti će se za prekršaj pravna osoba za koju se rješenjem komunalnog redara iz članka 7. ove Odluke, utvrdi da je obveznik uklanjanja nepropisno odloženog otpada u okoliš.</w:t>
      </w:r>
    </w:p>
    <w:p>
      <w:pPr>
        <w:pStyle w:val="Normal"/>
        <w:bidi w:val="0"/>
        <w:jc w:val="both"/>
        <w:rPr>
          <w:color w:val="000000"/>
        </w:rPr>
      </w:pPr>
      <w:r>
        <w:rPr>
          <w:rFonts w:ascii="Times New Roman" w:hAnsi="Times New Roman"/>
          <w:color w:val="000000"/>
          <w:lang w:val="hr-HR"/>
        </w:rPr>
        <w:tab/>
        <w:t>Novčanom kaznom od 100,00 EUR kazniti će se odgovorna osoba u pravnoj osobi koja počini prekršaj iz stavka 1. ovog članka.</w:t>
      </w:r>
    </w:p>
    <w:p>
      <w:pPr>
        <w:pStyle w:val="Normal"/>
        <w:bidi w:val="0"/>
        <w:jc w:val="both"/>
        <w:rPr>
          <w:color w:val="000000"/>
        </w:rPr>
      </w:pPr>
      <w:r>
        <w:rPr>
          <w:rFonts w:ascii="Times New Roman" w:hAnsi="Times New Roman"/>
          <w:color w:val="000000"/>
          <w:lang w:val="hr-HR"/>
        </w:rPr>
        <w:tab/>
        <w:t>Novčanom kaznom od 100,00 EUR kazniti će se za prekršaj fizička osoba za koju se rješenjem komunalnog redara iz članka 11. ove Odluke, utvrdi da je obveznik uklanjanja nepropisno odloženog otpada u okoliš.</w:t>
      </w:r>
    </w:p>
    <w:p>
      <w:pPr>
        <w:pStyle w:val="Normal"/>
        <w:bidi w:val="0"/>
        <w:jc w:val="left"/>
        <w:rPr>
          <w:rFonts w:ascii="Times New Roman" w:hAnsi="Times New Roman"/>
          <w:color w:val="000000"/>
          <w:lang w:val="hr-HR"/>
        </w:rPr>
      </w:pPr>
      <w:r>
        <w:rPr>
          <w:rFonts w:ascii="Times New Roman" w:hAnsi="Times New Roman"/>
          <w:color w:val="000000"/>
          <w:lang w:val="hr-HR"/>
        </w:rPr>
      </w:r>
    </w:p>
    <w:p>
      <w:pPr>
        <w:pStyle w:val="Normal"/>
        <w:bidi w:val="0"/>
        <w:jc w:val="center"/>
        <w:rPr>
          <w:color w:val="000000"/>
        </w:rPr>
      </w:pPr>
      <w:r>
        <w:rPr>
          <w:rFonts w:ascii="Times New Roman" w:hAnsi="Times New Roman"/>
          <w:b/>
          <w:bCs/>
          <w:color w:val="000000"/>
          <w:lang w:val="hr-HR"/>
        </w:rPr>
        <w:t>Članak 10.</w:t>
      </w:r>
    </w:p>
    <w:p>
      <w:pPr>
        <w:pStyle w:val="Normal"/>
        <w:bidi w:val="0"/>
        <w:jc w:val="both"/>
        <w:rPr>
          <w:color w:val="000000"/>
        </w:rPr>
      </w:pPr>
      <w:r>
        <w:rPr>
          <w:rFonts w:ascii="Times New Roman" w:hAnsi="Times New Roman"/>
          <w:color w:val="000000"/>
          <w:lang w:val="hr-HR"/>
        </w:rPr>
        <w:tab/>
        <w:t>U obavljanju nadzora komunalni redar je ovlašten:</w:t>
      </w:r>
    </w:p>
    <w:p>
      <w:pPr>
        <w:pStyle w:val="Normal"/>
        <w:bidi w:val="0"/>
        <w:jc w:val="both"/>
        <w:rPr>
          <w:color w:val="000000"/>
        </w:rPr>
      </w:pPr>
      <w:r>
        <w:rPr>
          <w:rFonts w:ascii="Times New Roman" w:hAnsi="Times New Roman"/>
          <w:color w:val="000000"/>
          <w:lang w:val="hr-HR"/>
        </w:rPr>
        <w:t>- naplatiti novčanu kaznu na mjestu počinjenja prekršaja za pravnu osobu u iznosu od 500,00 EUR i za fizičku osobu u iznosu od 100,00 EUR za prekršaj propisan ovom Odlukom.</w:t>
      </w:r>
    </w:p>
    <w:p>
      <w:pPr>
        <w:pStyle w:val="Normal"/>
        <w:bidi w:val="0"/>
        <w:jc w:val="both"/>
        <w:rPr>
          <w:color w:val="000000"/>
        </w:rPr>
      </w:pPr>
      <w:r>
        <w:rPr>
          <w:rFonts w:ascii="Times New Roman" w:hAnsi="Times New Roman"/>
          <w:color w:val="000000"/>
          <w:lang w:val="hr-HR"/>
        </w:rPr>
        <w:t>- izdati obvezni prekršajni nalog i izreći novčanu kaznu,</w:t>
      </w:r>
    </w:p>
    <w:p>
      <w:pPr>
        <w:pStyle w:val="Normal"/>
        <w:bidi w:val="0"/>
        <w:jc w:val="both"/>
        <w:rPr>
          <w:color w:val="000000"/>
        </w:rPr>
      </w:pPr>
      <w:r>
        <w:rPr>
          <w:rFonts w:ascii="Times New Roman" w:hAnsi="Times New Roman"/>
          <w:color w:val="000000"/>
          <w:lang w:val="hr-HR"/>
        </w:rPr>
        <w:t>- pokrenuti prekršajni postupak.</w:t>
      </w:r>
    </w:p>
    <w:p>
      <w:pPr>
        <w:pStyle w:val="Normal"/>
        <w:bidi w:val="0"/>
        <w:jc w:val="left"/>
        <w:rPr>
          <w:rFonts w:ascii="Times New Roman" w:hAnsi="Times New Roman"/>
          <w:b w:val="false"/>
          <w:b w:val="false"/>
          <w:bCs w:val="false"/>
        </w:rPr>
      </w:pPr>
      <w:r>
        <w:rPr>
          <w:rFonts w:ascii="Times New Roman" w:hAnsi="Times New Roman"/>
          <w:b w:val="false"/>
          <w:bCs w:val="false"/>
        </w:rPr>
      </w:r>
    </w:p>
    <w:p>
      <w:pPr>
        <w:pStyle w:val="Normal"/>
        <w:bidi w:val="0"/>
        <w:jc w:val="center"/>
        <w:rPr>
          <w:rFonts w:ascii="Times New Roman" w:hAnsi="Times New Roman"/>
        </w:rPr>
      </w:pPr>
      <w:r>
        <w:rPr>
          <w:rFonts w:ascii="Times New Roman" w:hAnsi="Times New Roman"/>
          <w:b/>
          <w:bCs/>
        </w:rPr>
        <w:t>Članak 11.</w:t>
      </w:r>
    </w:p>
    <w:p>
      <w:pPr>
        <w:pStyle w:val="Normal"/>
        <w:bidi w:val="0"/>
        <w:jc w:val="both"/>
        <w:rPr>
          <w:rFonts w:ascii="Times New Roman" w:hAnsi="Times New Roman"/>
        </w:rPr>
      </w:pPr>
      <w:r>
        <w:rPr>
          <w:rFonts w:ascii="Times New Roman" w:hAnsi="Times New Roman"/>
          <w:b w:val="false"/>
          <w:bCs w:val="false"/>
        </w:rPr>
        <w:tab/>
        <w:t>Općina Negoslavci ima pravo na naknadu troška uklanjanja otpada iz članka 7. ove Odluke od vlasnika, odnosno posjednika nekretnine ako vlasnik nije poznat, odnosno od osobe koja, sukladno posebnom propisu, upravlja određenim područjem (dobrom), na kojem se otpad nalazio.</w:t>
      </w:r>
    </w:p>
    <w:p>
      <w:pPr>
        <w:pStyle w:val="Normal"/>
        <w:bidi w:val="0"/>
        <w:jc w:val="left"/>
        <w:rPr>
          <w:rFonts w:ascii="Times New Roman" w:hAnsi="Times New Roman"/>
          <w:b w:val="false"/>
          <w:b w:val="false"/>
          <w:bCs w:val="false"/>
        </w:rPr>
      </w:pPr>
      <w:r>
        <w:rPr>
          <w:rFonts w:ascii="Times New Roman" w:hAnsi="Times New Roman"/>
          <w:b w:val="false"/>
          <w:bCs w:val="false"/>
        </w:rPr>
      </w:r>
    </w:p>
    <w:p>
      <w:pPr>
        <w:pStyle w:val="Normal"/>
        <w:bidi w:val="0"/>
        <w:jc w:val="center"/>
        <w:rPr>
          <w:rFonts w:ascii="Times New Roman" w:hAnsi="Times New Roman"/>
        </w:rPr>
      </w:pPr>
      <w:r>
        <w:rPr>
          <w:rFonts w:ascii="Times New Roman" w:hAnsi="Times New Roman"/>
          <w:b/>
          <w:bCs/>
        </w:rPr>
        <w:t>Članak 12.</w:t>
      </w:r>
    </w:p>
    <w:p>
      <w:pPr>
        <w:pStyle w:val="Normal"/>
        <w:bidi w:val="0"/>
        <w:jc w:val="both"/>
        <w:rPr>
          <w:rFonts w:ascii="Times New Roman" w:hAnsi="Times New Roman"/>
        </w:rPr>
      </w:pPr>
      <w:r>
        <w:rPr>
          <w:rFonts w:ascii="Times New Roman" w:hAnsi="Times New Roman"/>
          <w:b w:val="false"/>
          <w:bCs w:val="false"/>
        </w:rPr>
        <w:tab/>
        <w:t>Za sve što nije propisano ovom odlukom imaju se primjeniti odredbe važećeg propisa kojim se uređuje gospodarenje otpadom u Republici Hrvatskoj te odredbe Odluke kojom se uređuje način pružanja javne usluge sakupljanja komunalnog otpada na području Općine Negoslavci.</w:t>
      </w:r>
    </w:p>
    <w:p>
      <w:pPr>
        <w:pStyle w:val="Normal"/>
        <w:bidi w:val="0"/>
        <w:jc w:val="left"/>
        <w:rPr>
          <w:rFonts w:ascii="Times New Roman" w:hAnsi="Times New Roman"/>
          <w:b w:val="false"/>
          <w:b w:val="false"/>
          <w:bCs w:val="false"/>
        </w:rPr>
      </w:pPr>
      <w:r>
        <w:rPr>
          <w:rFonts w:ascii="Times New Roman" w:hAnsi="Times New Roman"/>
          <w:b w:val="false"/>
          <w:bCs w:val="false"/>
        </w:rPr>
      </w:r>
    </w:p>
    <w:p>
      <w:pPr>
        <w:pStyle w:val="Normal"/>
        <w:bidi w:val="0"/>
        <w:jc w:val="left"/>
        <w:rPr>
          <w:rFonts w:ascii="Times New Roman" w:hAnsi="Times New Roman"/>
          <w:b w:val="false"/>
          <w:b w:val="false"/>
          <w:bCs w:val="false"/>
        </w:rPr>
      </w:pPr>
      <w:r>
        <w:rPr>
          <w:rFonts w:ascii="Times New Roman" w:hAnsi="Times New Roman"/>
          <w:b w:val="false"/>
          <w:bCs w:val="false"/>
        </w:rPr>
      </w:r>
    </w:p>
    <w:p>
      <w:pPr>
        <w:pStyle w:val="Normal"/>
        <w:bidi w:val="0"/>
        <w:jc w:val="center"/>
        <w:rPr>
          <w:rFonts w:ascii="Times New Roman" w:hAnsi="Times New Roman"/>
        </w:rPr>
      </w:pPr>
      <w:r>
        <w:rPr>
          <w:rFonts w:ascii="Times New Roman" w:hAnsi="Times New Roman"/>
          <w:b/>
          <w:bCs/>
        </w:rPr>
        <w:t>Članak 13.</w:t>
      </w:r>
    </w:p>
    <w:p>
      <w:pPr>
        <w:pStyle w:val="Normal"/>
        <w:bidi w:val="0"/>
        <w:jc w:val="both"/>
        <w:rPr>
          <w:rFonts w:ascii="Times New Roman" w:hAnsi="Times New Roman"/>
        </w:rPr>
      </w:pPr>
      <w:r>
        <w:rPr>
          <w:rFonts w:ascii="Times New Roman" w:hAnsi="Times New Roman"/>
          <w:b w:val="false"/>
          <w:bCs w:val="false"/>
        </w:rPr>
        <w:tab/>
        <w:t>Stupanjem na snagu ove Odluke stavlja se van snage Odluka o mjerama za sprječavanje nepropisnog odbacivanja otpada i mjerama za uklanjanje odbačenog otpada na području Općine Negoslavci (KLASA: 351-01/18-01/02, URBROJ: 2196/06-02-18, od 31.01.2018. godine).</w:t>
      </w:r>
    </w:p>
    <w:p>
      <w:pPr>
        <w:pStyle w:val="Normal"/>
        <w:bidi w:val="0"/>
        <w:jc w:val="left"/>
        <w:rPr>
          <w:rFonts w:ascii="Times New Roman" w:hAnsi="Times New Roman"/>
          <w:b w:val="false"/>
          <w:b w:val="false"/>
          <w:bCs w:val="false"/>
        </w:rPr>
      </w:pPr>
      <w:r>
        <w:rPr>
          <w:rFonts w:ascii="Times New Roman" w:hAnsi="Times New Roman"/>
          <w:b w:val="false"/>
          <w:bCs w:val="false"/>
        </w:rPr>
      </w:r>
    </w:p>
    <w:p>
      <w:pPr>
        <w:pStyle w:val="Normal"/>
        <w:bidi w:val="0"/>
        <w:jc w:val="center"/>
        <w:rPr>
          <w:rFonts w:ascii="Times New Roman" w:hAnsi="Times New Roman"/>
        </w:rPr>
      </w:pPr>
      <w:r>
        <w:rPr>
          <w:rFonts w:ascii="Times New Roman" w:hAnsi="Times New Roman"/>
          <w:b/>
          <w:bCs/>
        </w:rPr>
        <w:t>Članak 14.</w:t>
      </w:r>
    </w:p>
    <w:p>
      <w:pPr>
        <w:pStyle w:val="Normal"/>
        <w:bidi w:val="0"/>
        <w:jc w:val="both"/>
        <w:rPr>
          <w:rFonts w:ascii="Times New Roman" w:hAnsi="Times New Roman"/>
        </w:rPr>
      </w:pPr>
      <w:r>
        <w:rPr>
          <w:rFonts w:ascii="Times New Roman" w:hAnsi="Times New Roman"/>
          <w:b w:val="false"/>
          <w:bCs w:val="false"/>
        </w:rPr>
        <w:tab/>
        <w:t>Ova Odluka stupa na snagu osmog dana od dana objave u Službenom glasniku Općine Negoslavci.</w:t>
      </w:r>
    </w:p>
    <w:p>
      <w:pPr>
        <w:pStyle w:val="Normal"/>
        <w:bidi w:val="0"/>
        <w:jc w:val="both"/>
        <w:rPr>
          <w:rFonts w:ascii="Times New Roman" w:hAnsi="Times New Roman"/>
        </w:rPr>
      </w:pPr>
      <w:r>
        <w:rPr/>
      </w:r>
    </w:p>
    <w:p>
      <w:pPr>
        <w:pStyle w:val="Normal"/>
        <w:bidi w:val="0"/>
        <w:jc w:val="both"/>
        <w:rPr>
          <w:rFonts w:ascii="Times New Roman" w:hAnsi="Times New Roman"/>
        </w:rPr>
      </w:pPr>
      <w:r>
        <w:rPr>
          <w:rFonts w:ascii="Times New Roman" w:hAnsi="Times New Roman"/>
          <w:b w:val="false"/>
          <w:bCs w:val="false"/>
        </w:rPr>
        <w:t>KLASA: 351-01/26-01/02</w:t>
      </w:r>
    </w:p>
    <w:p>
      <w:pPr>
        <w:pStyle w:val="Normal"/>
        <w:bidi w:val="0"/>
        <w:jc w:val="both"/>
        <w:rPr>
          <w:rFonts w:ascii="Times New Roman" w:hAnsi="Times New Roman"/>
        </w:rPr>
      </w:pPr>
      <w:r>
        <w:rPr>
          <w:rFonts w:ascii="Times New Roman" w:hAnsi="Times New Roman"/>
          <w:b w:val="false"/>
          <w:bCs w:val="false"/>
        </w:rPr>
        <w:t>URBROJ: 2196-19-02-26-01</w:t>
      </w:r>
    </w:p>
    <w:p>
      <w:pPr>
        <w:pStyle w:val="Normal"/>
        <w:bidi w:val="0"/>
        <w:jc w:val="both"/>
        <w:rPr>
          <w:rFonts w:ascii="Times New Roman" w:hAnsi="Times New Roman"/>
        </w:rPr>
      </w:pPr>
      <w:r>
        <w:rPr>
          <w:rFonts w:ascii="Times New Roman" w:hAnsi="Times New Roman"/>
          <w:b w:val="false"/>
          <w:bCs w:val="false"/>
        </w:rPr>
        <w:t>Negoslavci, 24. rujna 2026.</w:t>
      </w:r>
    </w:p>
    <w:p>
      <w:pPr>
        <w:pStyle w:val="Normal"/>
        <w:bidi w:val="0"/>
        <w:jc w:val="both"/>
        <w:rPr>
          <w:rFonts w:ascii="Times New Roman" w:hAnsi="Times New Roman"/>
        </w:rPr>
      </w:pPr>
      <w:r>
        <w:rPr>
          <w:rFonts w:ascii="Times New Roman" w:hAnsi="Times New Roman"/>
        </w:rPr>
      </w:r>
    </w:p>
    <w:p>
      <w:pPr>
        <w:pStyle w:val="Normal"/>
        <w:bidi w:val="0"/>
        <w:jc w:val="center"/>
        <w:rPr/>
      </w:pPr>
      <w:r>
        <w:rPr>
          <w:rFonts w:ascii="Times New Roman" w:hAnsi="Times New Roman"/>
          <w:b/>
          <w:bCs/>
        </w:rPr>
        <w:t>PREDSJEDNIK OPĆINSKOG VIJEĆA:</w:t>
      </w:r>
    </w:p>
    <w:p>
      <w:pPr>
        <w:pStyle w:val="Normal"/>
        <w:bidi w:val="0"/>
        <w:jc w:val="center"/>
        <w:rPr/>
      </w:pPr>
      <w:r>
        <w:rPr>
          <w:rFonts w:ascii="Times New Roman" w:hAnsi="Times New Roman"/>
          <w:b w:val="false"/>
          <w:bCs w:val="false"/>
        </w:rPr>
        <w:t>Miodrag Mišanović</w:t>
      </w:r>
    </w:p>
    <w:p>
      <w:pPr>
        <w:pStyle w:val="Normal"/>
        <w:bidi w:val="0"/>
        <w:jc w:val="center"/>
        <w:rPr/>
      </w:pPr>
      <w:r>
        <w:rPr>
          <w:rFonts w:ascii="Times New Roman" w:hAnsi="Times New Roman"/>
          <w:b w:val="false"/>
          <w:bCs w:val="false"/>
        </w:rPr>
        <w:drawing>
          <wp:inline distT="0" distB="0" distL="0" distR="0">
            <wp:extent cx="5761355" cy="36830"/>
            <wp:effectExtent l="0" t="0" r="0" b="0"/>
            <wp:docPr id="8" name="Slika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lika8" descr=""/>
                    <pic:cNvPicPr>
                      <a:picLocks noChangeAspect="1" noChangeArrowheads="1"/>
                    </pic:cNvPicPr>
                  </pic:nvPicPr>
                  <pic:blipFill>
                    <a:blip r:embed="rId12"/>
                    <a:stretch>
                      <a:fillRect/>
                    </a:stretch>
                  </pic:blipFill>
                  <pic:spPr bwMode="auto">
                    <a:xfrm>
                      <a:off x="0" y="0"/>
                      <a:ext cx="5761355" cy="36830"/>
                    </a:xfrm>
                    <a:prstGeom prst="rect">
                      <a:avLst/>
                    </a:prstGeom>
                  </pic:spPr>
                </pic:pic>
              </a:graphicData>
            </a:graphic>
          </wp:inline>
        </w:drawing>
      </w:r>
    </w:p>
    <w:p>
      <w:pPr>
        <w:pStyle w:val="Normal"/>
        <w:jc w:val="right"/>
        <w:rPr>
          <w:rFonts w:ascii="Times New Roman" w:hAnsi="Times New Roman"/>
        </w:rPr>
      </w:pPr>
      <w:r>
        <w:rPr>
          <w:rFonts w:ascii="Times New Roman" w:hAnsi="Times New Roman"/>
        </w:rPr>
      </w:r>
    </w:p>
    <w:sectPr>
      <w:headerReference w:type="even" r:id="rId13"/>
      <w:headerReference w:type="default" r:id="rId14"/>
      <w:type w:val="nextPage"/>
      <w:pgSz w:w="11906" w:h="16838"/>
      <w:pgMar w:left="1134" w:right="1134" w:gutter="0" w:header="1134" w:top="1693"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Light">
    <w:charset w:val="ee"/>
    <w:family w:val="roman"/>
    <w:pitch w:val="variable"/>
  </w:font>
  <w:font w:name="Calibri">
    <w:charset w:val="ee"/>
    <w:family w:val="roman"/>
    <w:pitch w:val="variable"/>
  </w:font>
  <w:font w:name="Times New Roman">
    <w:charset w:val="ee"/>
    <w:family w:val="roman"/>
    <w:pitch w:val="variable"/>
  </w:font>
  <w:font w:name="Courier New">
    <w:charset w:val="ee"/>
    <w:family w:val="roman"/>
    <w:pitch w:val="variable"/>
  </w:font>
  <w:font w:name="Wingdings">
    <w:charset w:val="ee"/>
    <w:family w:val="roman"/>
    <w:pitch w:val="variable"/>
  </w:font>
  <w:font w:name="Symbol">
    <w:charset w:val="ee"/>
    <w:family w:val="roman"/>
    <w:pitch w:val="variable"/>
  </w:font>
  <w:font w:name="Liberation Sans">
    <w:altName w:val="Arial"/>
    <w:charset w:val="ee"/>
    <w:family w:val="roman"/>
    <w:pitch w:val="variable"/>
  </w:font>
  <w:font w:name="Consolas">
    <w:charset w:val="ee"/>
    <w:family w:val="roman"/>
    <w:pitch w:val="variable"/>
  </w:font>
  <w:font w:name="Times New Roman">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center" w:pos="4153" w:leader="none"/>
        <w:tab w:val="right" w:pos="8306" w:leader="none"/>
      </w:tabs>
      <w:bidi w:val="0"/>
      <w:spacing w:lineRule="auto" w:line="480"/>
      <w:jc w:val="center"/>
      <w:rPr>
        <w:rFonts w:eastAsia="Times New Roman" w:cs="Times New Roman"/>
        <w:u w:val="single"/>
        <w:lang w:val="en-AU" w:eastAsia="hr-HR"/>
      </w:rPr>
    </w:pPr>
    <w:r>
      <w:rPr>
        <w:rFonts w:eastAsia="Times New Roman" w:cs="Times New Roman"/>
        <w:u w:val="single"/>
        <w:lang w:val="en-AU" w:eastAsia="hr-HR"/>
      </w:rPr>
      <w:t>Broj</w:t>
    </w:r>
    <w:r>
      <w:rPr>
        <w:rFonts w:eastAsia="Times New Roman" w:cs="Times New Roman"/>
        <w:u w:val="single"/>
        <w:lang w:eastAsia="hr-HR"/>
      </w:rPr>
      <w:t xml:space="preserve"> 9                                          </w:t>
    </w:r>
    <w:r>
      <w:rPr>
        <w:rFonts w:eastAsia="Times New Roman" w:cs="Times New Roman"/>
        <w:u w:val="single"/>
        <w:lang w:val="en-AU" w:eastAsia="hr-HR"/>
      </w:rPr>
      <w:t xml:space="preserve">“SLUŽBENI GLASNIK”                    </w:t>
    </w:r>
    <w:r>
      <w:rPr>
        <w:rFonts w:eastAsia="Times New Roman" w:cs="Times New Roman"/>
        <w:u w:val="single"/>
        <w:lang w:eastAsia="hr-HR"/>
      </w:rPr>
      <w:t>Stranica</w:t>
    </w:r>
    <w:r>
      <w:rPr>
        <w:rFonts w:eastAsia="Times New Roman" w:cs="Times New Roman"/>
        <w:u w:val="single"/>
        <w:lang w:val="en-AU" w:eastAsia="hr-HR"/>
      </w:rPr>
      <w:t xml:space="preserve"> </w:t>
    </w:r>
    <w:r>
      <w:rPr>
        <w:rFonts w:eastAsia="Times New Roman" w:cs="Times New Roman"/>
        <w:u w:val="single"/>
        <w:lang w:val="en-AU" w:eastAsia="hr-HR"/>
      </w:rPr>
      <w:fldChar w:fldCharType="begin"/>
    </w:r>
    <w:r>
      <w:rPr>
        <w:u w:val="single"/>
        <w:rFonts w:eastAsia="Times New Roman" w:cs="Times New Roman"/>
        <w:lang w:val="en-AU" w:eastAsia="hr-HR"/>
      </w:rPr>
      <w:instrText xml:space="preserve"> PAGE </w:instrText>
    </w:r>
    <w:r>
      <w:rPr>
        <w:u w:val="single"/>
        <w:rFonts w:eastAsia="Times New Roman" w:cs="Times New Roman"/>
        <w:lang w:val="en-AU" w:eastAsia="hr-HR"/>
      </w:rPr>
      <w:fldChar w:fldCharType="separate"/>
    </w:r>
    <w:r>
      <w:rPr>
        <w:u w:val="single"/>
        <w:rFonts w:eastAsia="Times New Roman" w:cs="Times New Roman"/>
        <w:lang w:val="en-AU" w:eastAsia="hr-HR"/>
      </w:rPr>
      <w:t>2</w:t>
    </w:r>
    <w:r>
      <w:rPr>
        <w:u w:val="single"/>
        <w:rFonts w:eastAsia="Times New Roman" w:cs="Times New Roman"/>
        <w:lang w:val="en-AU" w:eastAsia="hr-HR"/>
      </w:rP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center" w:pos="4153" w:leader="none"/>
        <w:tab w:val="right" w:pos="8306" w:leader="none"/>
      </w:tabs>
      <w:bidi w:val="0"/>
      <w:spacing w:lineRule="auto" w:line="480"/>
      <w:jc w:val="center"/>
      <w:rPr>
        <w:rFonts w:eastAsia="Times New Roman" w:cs="Times New Roman"/>
        <w:u w:val="single"/>
        <w:lang w:val="en-AU" w:eastAsia="hr-HR"/>
      </w:rPr>
    </w:pPr>
    <w:r>
      <w:rPr>
        <w:rFonts w:eastAsia="Times New Roman" w:cs="Times New Roman"/>
        <w:u w:val="single"/>
        <w:lang w:val="en-AU" w:eastAsia="hr-HR"/>
      </w:rPr>
      <w:t>Broj</w:t>
    </w:r>
    <w:r>
      <w:rPr>
        <w:rFonts w:eastAsia="Times New Roman" w:cs="Times New Roman"/>
        <w:u w:val="single"/>
        <w:lang w:eastAsia="hr-HR"/>
      </w:rPr>
      <w:t xml:space="preserve"> 9                                          </w:t>
    </w:r>
    <w:r>
      <w:rPr>
        <w:rFonts w:eastAsia="Times New Roman" w:cs="Times New Roman"/>
        <w:u w:val="single"/>
        <w:lang w:val="en-AU" w:eastAsia="hr-HR"/>
      </w:rPr>
      <w:t xml:space="preserve">“SLUŽBENI GLASNIK”                    </w:t>
    </w:r>
    <w:r>
      <w:rPr>
        <w:rFonts w:eastAsia="Times New Roman" w:cs="Times New Roman"/>
        <w:u w:val="single"/>
        <w:lang w:eastAsia="hr-HR"/>
      </w:rPr>
      <w:t>Stranica</w:t>
    </w:r>
    <w:r>
      <w:rPr>
        <w:rFonts w:eastAsia="Times New Roman" w:cs="Times New Roman"/>
        <w:u w:val="single"/>
        <w:lang w:val="en-AU" w:eastAsia="hr-HR"/>
      </w:rPr>
      <w:t xml:space="preserve">  </w:t>
    </w:r>
    <w:r>
      <w:rPr>
        <w:rFonts w:eastAsia="Times New Roman" w:cs="Times New Roman"/>
        <w:u w:val="single"/>
        <w:lang w:val="en-AU" w:eastAsia="hr-HR"/>
      </w:rPr>
      <w:fldChar w:fldCharType="begin"/>
    </w:r>
    <w:r>
      <w:rPr>
        <w:u w:val="single"/>
        <w:rFonts w:eastAsia="Times New Roman" w:cs="Times New Roman"/>
        <w:lang w:val="en-AU" w:eastAsia="hr-HR"/>
      </w:rPr>
      <w:instrText xml:space="preserve"> PAGE </w:instrText>
    </w:r>
    <w:r>
      <w:rPr>
        <w:u w:val="single"/>
        <w:rFonts w:eastAsia="Times New Roman" w:cs="Times New Roman"/>
        <w:lang w:val="en-AU" w:eastAsia="hr-HR"/>
      </w:rPr>
      <w:fldChar w:fldCharType="separate"/>
    </w:r>
    <w:r>
      <w:rPr>
        <w:u w:val="single"/>
        <w:rFonts w:eastAsia="Times New Roman" w:cs="Times New Roman"/>
        <w:lang w:val="en-AU" w:eastAsia="hr-HR"/>
      </w:rPr>
      <w:t>1</w:t>
    </w:r>
    <w:r>
      <w:rPr>
        <w:u w:val="single"/>
        <w:rFonts w:eastAsia="Times New Roman" w:cs="Times New Roman"/>
        <w:lang w:val="en-AU" w:eastAsia="hr-HR"/>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decimal"/>
      <w:lvlText w:val="%1."/>
      <w:lvlJc w:val="left"/>
      <w:pPr>
        <w:tabs>
          <w:tab w:val="num" w:pos="0"/>
        </w:tabs>
        <w:ind w:left="1080" w:hanging="360"/>
      </w:pPr>
      <w:rPr/>
    </w:lvl>
    <w:lvl w:ilvl="1">
      <w:start w:val="2"/>
      <w:numFmt w:val="decimal"/>
      <w:lvlText w:val="%1.%2."/>
      <w:lvlJc w:val="left"/>
      <w:pPr>
        <w:tabs>
          <w:tab w:val="num" w:pos="0"/>
        </w:tabs>
        <w:ind w:left="1440" w:hanging="720"/>
      </w:pPr>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1800" w:hanging="1080"/>
      </w:pPr>
      <w:rPr/>
    </w:lvl>
    <w:lvl w:ilvl="4">
      <w:start w:val="1"/>
      <w:numFmt w:val="decimal"/>
      <w:lvlText w:val="%1.%2.%3.%4.%5."/>
      <w:lvlJc w:val="left"/>
      <w:pPr>
        <w:tabs>
          <w:tab w:val="num" w:pos="0"/>
        </w:tabs>
        <w:ind w:left="1800" w:hanging="1080"/>
      </w:pPr>
      <w:rPr/>
    </w:lvl>
    <w:lvl w:ilvl="5">
      <w:start w:val="1"/>
      <w:numFmt w:val="decimal"/>
      <w:lvlText w:val="%1.%2.%3.%4.%5.%6."/>
      <w:lvlJc w:val="left"/>
      <w:pPr>
        <w:tabs>
          <w:tab w:val="num" w:pos="0"/>
        </w:tabs>
        <w:ind w:left="2160" w:hanging="1440"/>
      </w:pPr>
      <w:rPr/>
    </w:lvl>
    <w:lvl w:ilvl="6">
      <w:start w:val="1"/>
      <w:numFmt w:val="decimal"/>
      <w:lvlText w:val="%1.%2.%3.%4.%5.%6.%7."/>
      <w:lvlJc w:val="left"/>
      <w:pPr>
        <w:tabs>
          <w:tab w:val="num" w:pos="0"/>
        </w:tabs>
        <w:ind w:left="2160" w:hanging="1440"/>
      </w:pPr>
      <w:rPr/>
    </w:lvl>
    <w:lvl w:ilvl="7">
      <w:start w:val="1"/>
      <w:numFmt w:val="decimal"/>
      <w:lvlText w:val="%1.%2.%3.%4.%5.%6.%7.%8."/>
      <w:lvlJc w:val="left"/>
      <w:pPr>
        <w:tabs>
          <w:tab w:val="num" w:pos="0"/>
        </w:tabs>
        <w:ind w:left="2520" w:hanging="1800"/>
      </w:pPr>
      <w:rPr/>
    </w:lvl>
    <w:lvl w:ilvl="8">
      <w:start w:val="1"/>
      <w:numFmt w:val="decimal"/>
      <w:lvlText w:val="%1.%2.%3.%4.%5.%6.%7.%8.%9."/>
      <w:lvlJc w:val="left"/>
      <w:pPr>
        <w:tabs>
          <w:tab w:val="num" w:pos="0"/>
        </w:tabs>
        <w:ind w:left="2520" w:hanging="1800"/>
      </w:pPr>
      <w:rPr/>
    </w:lvl>
  </w:abstractNum>
  <w:abstractNum w:abstractNumId="3">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80"/>
  <w:defaultTabStop w:val="709"/>
  <w:autoHyphenation w:val="true"/>
  <w:evenAndOddHeaders/>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hr-HR"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Arial"/>
      <w:color w:val="auto"/>
      <w:kern w:val="2"/>
      <w:sz w:val="24"/>
      <w:szCs w:val="24"/>
      <w:lang w:val="hr-HR" w:eastAsia="zh-CN" w:bidi="hi-IN"/>
    </w:rPr>
  </w:style>
  <w:style w:type="paragraph" w:styleId="Stilnaslova1">
    <w:name w:val="Heading 1"/>
    <w:basedOn w:val="Normal"/>
    <w:next w:val="Normal"/>
    <w:qFormat/>
    <w:pPr>
      <w:keepNext w:val="true"/>
      <w:suppressAutoHyphens w:val="false"/>
      <w:spacing w:lineRule="auto" w:line="240" w:before="240" w:after="60"/>
      <w:outlineLvl w:val="0"/>
    </w:pPr>
    <w:rPr>
      <w:rFonts w:ascii="Calibri Light" w:hAnsi="Calibri Light" w:eastAsia="Times New Roman" w:cs="Times New Roman"/>
      <w:b/>
      <w:bCs/>
      <w:kern w:val="2"/>
      <w:sz w:val="32"/>
      <w:szCs w:val="32"/>
      <w:lang w:eastAsia="hr-HR"/>
      <w14:ligatures w14:val="none"/>
    </w:rPr>
  </w:style>
  <w:style w:type="paragraph" w:styleId="Stilnaslova2">
    <w:name w:val="Heading 2"/>
    <w:basedOn w:val="Normal"/>
    <w:next w:val="Normal"/>
    <w:qFormat/>
    <w:pPr>
      <w:keepNext w:val="true"/>
      <w:keepLines/>
      <w:spacing w:before="40" w:after="0"/>
      <w:outlineLvl w:val="1"/>
    </w:pPr>
    <w:rPr>
      <w:rFonts w:eastAsia="" w:cs="" w:asciiTheme="majorHAnsi" w:cstheme="majorBidi" w:eastAsiaTheme="majorEastAsia" w:hAnsiTheme="majorHAnsi"/>
      <w:color w:val="365F91" w:themeColor="accent1" w:themeShade="bf"/>
      <w:sz w:val="26"/>
      <w:szCs w:val="26"/>
    </w:rPr>
  </w:style>
  <w:style w:type="paragraph" w:styleId="Stilnaslova3">
    <w:name w:val="Heading 3"/>
    <w:basedOn w:val="Normal"/>
    <w:next w:val="Normal"/>
    <w:qFormat/>
    <w:pPr>
      <w:keepNext w:val="true"/>
      <w:suppressAutoHyphens w:val="false"/>
      <w:spacing w:lineRule="auto" w:line="240" w:before="240" w:after="60"/>
      <w:outlineLvl w:val="2"/>
    </w:pPr>
    <w:rPr>
      <w:rFonts w:ascii="Calibri Light" w:hAnsi="Calibri Light" w:eastAsia="Times New Roman" w:cs="Times New Roman"/>
      <w:b/>
      <w:bCs/>
      <w:kern w:val="0"/>
      <w:sz w:val="26"/>
      <w:szCs w:val="26"/>
      <w:lang w:eastAsia="hr-HR"/>
      <w14:ligatures w14:val="none"/>
    </w:rPr>
  </w:style>
  <w:style w:type="paragraph" w:styleId="Stilnaslova4">
    <w:name w:val="Heading 4"/>
    <w:basedOn w:val="Normal"/>
    <w:next w:val="Normal"/>
    <w:qFormat/>
    <w:pPr>
      <w:keepNext w:val="true"/>
      <w:suppressAutoHyphens w:val="false"/>
      <w:spacing w:lineRule="auto" w:line="240" w:before="240" w:after="60"/>
      <w:outlineLvl w:val="3"/>
    </w:pPr>
    <w:rPr>
      <w:rFonts w:ascii="Calibri" w:hAnsi="Calibri" w:eastAsia="Times New Roman" w:cs="Times New Roman"/>
      <w:b/>
      <w:bCs/>
      <w:kern w:val="0"/>
      <w:sz w:val="28"/>
      <w:szCs w:val="28"/>
      <w:lang w:eastAsia="hr-HR"/>
      <w14:ligatures w14:val="none"/>
    </w:rPr>
  </w:style>
  <w:style w:type="character" w:styleId="Internetskapoveznica">
    <w:name w:val="Hyperlink"/>
    <w:rPr>
      <w:color w:val="000080"/>
      <w:u w:val="single"/>
      <w:lang w:val="zxx" w:eastAsia="zxx" w:bidi="zxx"/>
    </w:rPr>
  </w:style>
  <w:style w:type="character" w:styleId="DefaultParagraphFont">
    <w:name w:val="Default Paragraph Font"/>
    <w:qFormat/>
    <w:rPr/>
  </w:style>
  <w:style w:type="character" w:styleId="Posjeenainternetskapoveznica">
    <w:name w:val="FollowedHyperlink"/>
    <w:basedOn w:val="DefaultParagraphFont"/>
    <w:rPr>
      <w:color w:val="800080"/>
      <w:u w:val="single"/>
    </w:rPr>
  </w:style>
  <w:style w:type="character" w:styleId="Simbolinumeriranja">
    <w:name w:val="Simboli numeriranja"/>
    <w:qFormat/>
    <w:rPr/>
  </w:style>
  <w:style w:type="character" w:styleId="WW8Num2z0">
    <w:name w:val="WW8Num2z0"/>
    <w:qFormat/>
    <w:rPr>
      <w:rFonts w:ascii="Times New Roman" w:hAnsi="Times New Roman" w:eastAsia="Times New Roman" w:cs="Times New Roman"/>
      <w:sz w:val="24"/>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Strong">
    <w:name w:val="Strong"/>
    <w:qFormat/>
    <w:rPr>
      <w:b/>
      <w:bCs/>
    </w:rPr>
  </w:style>
  <w:style w:type="paragraph" w:styleId="Stilnaslova">
    <w:name w:val="Stil naslova"/>
    <w:basedOn w:val="Normal"/>
    <w:next w:val="Tijeloteksta"/>
    <w:qFormat/>
    <w:pPr>
      <w:keepNext w:val="true"/>
      <w:spacing w:before="240" w:after="120"/>
    </w:pPr>
    <w:rPr>
      <w:rFonts w:ascii="Liberation Sans" w:hAnsi="Liberation Sans" w:eastAsia="Microsoft YaHei" w:cs="Arial"/>
      <w:sz w:val="28"/>
      <w:szCs w:val="28"/>
    </w:rPr>
  </w:style>
  <w:style w:type="paragraph" w:styleId="Tijeloteksta">
    <w:name w:val="Body Text"/>
    <w:basedOn w:val="Normal"/>
    <w:pPr>
      <w:spacing w:lineRule="auto" w:line="276" w:before="0" w:after="140"/>
    </w:pPr>
    <w:rPr/>
  </w:style>
  <w:style w:type="paragraph" w:styleId="Popis">
    <w:name w:val="List"/>
    <w:basedOn w:val="Tijeloteksta"/>
    <w:pPr/>
    <w:rPr>
      <w:rFonts w:cs="Arial"/>
    </w:rPr>
  </w:style>
  <w:style w:type="paragraph" w:styleId="Opiselementa">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lang w:val="zxx" w:eastAsia="zxx" w:bidi="zxx"/>
    </w:rPr>
  </w:style>
  <w:style w:type="paragraph" w:styleId="ListParagraph">
    <w:name w:val="List Paragraph"/>
    <w:basedOn w:val="Normal"/>
    <w:qFormat/>
    <w:pPr>
      <w:spacing w:before="0" w:after="0"/>
      <w:ind w:left="720" w:hanging="0"/>
      <w:contextualSpacing/>
    </w:pPr>
    <w:rPr/>
  </w:style>
  <w:style w:type="paragraph" w:styleId="Zaglavljeipodnoje">
    <w:name w:val="Zaglavlje i podnožje"/>
    <w:basedOn w:val="Normal"/>
    <w:qFormat/>
    <w:pPr>
      <w:suppressLineNumbers/>
      <w:tabs>
        <w:tab w:val="clear" w:pos="709"/>
        <w:tab w:val="center" w:pos="4819" w:leader="none"/>
        <w:tab w:val="right" w:pos="9638" w:leader="none"/>
      </w:tabs>
    </w:pPr>
    <w:rPr/>
  </w:style>
  <w:style w:type="paragraph" w:styleId="Zaglavlje">
    <w:name w:val="Header"/>
    <w:basedOn w:val="Zaglavljeipodnoje"/>
    <w:pPr>
      <w:suppressLineNumbers/>
    </w:pPr>
    <w:rPr/>
  </w:style>
  <w:style w:type="paragraph" w:styleId="Sadrajitablice">
    <w:name w:val="Sadržaji tablice"/>
    <w:basedOn w:val="Normal"/>
    <w:qFormat/>
    <w:pPr>
      <w:widowControl w:val="false"/>
      <w:suppressLineNumbers/>
    </w:pPr>
    <w:rPr/>
  </w:style>
  <w:style w:type="paragraph" w:styleId="Naslovtablice">
    <w:name w:val="Naslov tablice"/>
    <w:basedOn w:val="Sadrajitablice"/>
    <w:qFormat/>
    <w:pPr>
      <w:suppressLineNumbers/>
      <w:jc w:val="center"/>
    </w:pPr>
    <w:rPr>
      <w:b/>
      <w:bCs/>
    </w:rPr>
  </w:style>
  <w:style w:type="paragraph" w:styleId="Standard">
    <w:name w:val="Standard"/>
    <w:qFormat/>
    <w:pPr>
      <w:widowControl/>
      <w:suppressAutoHyphens w:val="true"/>
      <w:bidi w:val="0"/>
      <w:spacing w:before="0" w:after="0"/>
      <w:jc w:val="left"/>
      <w:textAlignment w:val="baseline"/>
    </w:pPr>
    <w:rPr>
      <w:rFonts w:ascii="Liberation Serif" w:hAnsi="Liberation Serif" w:eastAsia="NSimSun" w:cs="Lucida Sans"/>
      <w:color w:val="auto"/>
      <w:kern w:val="2"/>
      <w:sz w:val="24"/>
      <w:szCs w:val="24"/>
      <w:lang w:val="hr-HR" w:eastAsia="zh-CN" w:bidi="hi-IN"/>
    </w:rPr>
  </w:style>
  <w:style w:type="paragraph" w:styleId="Zaglavljelijevo">
    <w:name w:val="Zaglavlje lijevo"/>
    <w:basedOn w:val="Zaglavlje"/>
    <w:qFormat/>
    <w:pPr/>
    <w:rPr/>
  </w:style>
  <w:style w:type="paragraph" w:styleId="Default">
    <w:name w:val="Default"/>
    <w:qFormat/>
    <w:pPr>
      <w:widowControl/>
      <w:suppressAutoHyphens w:val="true"/>
      <w:bidi w:val="0"/>
      <w:spacing w:before="0" w:after="0"/>
      <w:ind w:hanging="0"/>
      <w:jc w:val="left"/>
    </w:pPr>
    <w:rPr>
      <w:rFonts w:ascii="Times New Roman" w:hAnsi="Times New Roman" w:eastAsia="Calibri" w:cs="Times New Roman"/>
      <w:color w:val="000000"/>
      <w:kern w:val="0"/>
      <w:sz w:val="24"/>
      <w:szCs w:val="24"/>
      <w:lang w:val="hr-HR" w:eastAsia="en-US" w:bidi="ar-SA"/>
    </w:rPr>
  </w:style>
  <w:style w:type="paragraph" w:styleId="Obinitekst1">
    <w:name w:val="Obični tekst1"/>
    <w:basedOn w:val="Normal"/>
    <w:qFormat/>
    <w:pPr>
      <w:spacing w:lineRule="atLeast" w:line="100" w:before="0" w:after="0"/>
    </w:pPr>
    <w:rPr>
      <w:rFonts w:ascii="Consolas" w:hAnsi="Consolas" w:eastAsia="Times New Roman" w:cs="font316"/>
      <w:color w:val="00000A"/>
      <w:kern w:val="2"/>
      <w:sz w:val="21"/>
      <w:szCs w:val="21"/>
      <w14:ligatures w14:val="none"/>
    </w:rPr>
  </w:style>
  <w:style w:type="paragraph" w:styleId="Tijelotekstauvlaka21">
    <w:name w:val="Tijelo teksta - uvlaka 21"/>
    <w:basedOn w:val="Normal"/>
    <w:qFormat/>
    <w:pPr>
      <w:spacing w:lineRule="auto" w:line="480" w:before="0" w:after="120"/>
      <w:ind w:left="283" w:hanging="0"/>
      <w:jc w:val="both"/>
    </w:pPr>
    <w:rPr>
      <w:rFonts w:ascii="Times New Roman" w:hAnsi="Times New Roman" w:eastAsia="Times New Roman" w:cs="Times New Roman"/>
      <w:color w:val="00000A"/>
      <w:kern w:val="2"/>
      <w:szCs w:val="20"/>
      <w:lang w:eastAsia="hr-HR"/>
      <w14:ligatures w14:val="none"/>
    </w:rPr>
  </w:style>
  <w:style w:type="paragraph" w:styleId="Tijeloteksta21">
    <w:name w:val="Tijelo teksta 21"/>
    <w:basedOn w:val="Normal"/>
    <w:qFormat/>
    <w:pPr>
      <w:spacing w:lineRule="auto" w:line="480" w:before="0" w:after="120"/>
    </w:pPr>
    <w:rPr/>
  </w:style>
  <w:style w:type="paragraph" w:styleId="NoSpacing">
    <w:name w:val="No Spacing"/>
    <w:qFormat/>
    <w:pPr>
      <w:widowControl/>
      <w:suppressAutoHyphens w:val="true"/>
      <w:bidi w:val="0"/>
      <w:spacing w:before="0" w:after="0"/>
      <w:jc w:val="left"/>
    </w:pPr>
    <w:rPr>
      <w:rFonts w:ascii="Calibri" w:hAnsi="Calibri" w:eastAsia="Calibri" w:cs="" w:asciiTheme="minorHAnsi" w:hAnsiTheme="minorHAnsi"/>
      <w:color w:val="auto"/>
      <w:kern w:val="0"/>
      <w:sz w:val="22"/>
      <w:szCs w:val="22"/>
      <w:lang w:val="hr-HR" w:eastAsia="en-US" w:bidi="ar-SA"/>
    </w:rPr>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opcina.negoslavci@gmail.com" TargetMode="External"/><Relationship Id="rId4" Type="http://schemas.openxmlformats.org/officeDocument/2006/relationships/image" Target="media/image2.png"/><Relationship Id="rId5" Type="http://schemas.openxmlformats.org/officeDocument/2006/relationships/image" Target="media/image2.png"/><Relationship Id="rId6" Type="http://schemas.openxmlformats.org/officeDocument/2006/relationships/image" Target="media/image2.png"/><Relationship Id="rId7" Type="http://schemas.openxmlformats.org/officeDocument/2006/relationships/image" Target="media/image2.png"/><Relationship Id="rId8" Type="http://schemas.openxmlformats.org/officeDocument/2006/relationships/image" Target="media/image2.png"/><Relationship Id="rId9" Type="http://schemas.openxmlformats.org/officeDocument/2006/relationships/image" Target="media/image2.png"/><Relationship Id="rId10" Type="http://schemas.openxmlformats.org/officeDocument/2006/relationships/hyperlink" Target="mailto:opcina.negoslavci@gmail.com" TargetMode="External"/><Relationship Id="rId11" Type="http://schemas.openxmlformats.org/officeDocument/2006/relationships/hyperlink" Target="http://www.opcina-negoslavci.hr/" TargetMode="External"/><Relationship Id="rId12" Type="http://schemas.openxmlformats.org/officeDocument/2006/relationships/image" Target="media/image2.png"/><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814</TotalTime>
  <Application>LibreOffice/7.4.1.2$Windows_X86_64 LibreOffice_project/3c58a8f3a960df8bc8fd77b461821e42c061c5f0</Application>
  <AppVersion>15.0000</AppVersion>
  <Pages>35</Pages>
  <Words>7961</Words>
  <Characters>47713</Characters>
  <CharactersWithSpaces>54002</CharactersWithSpaces>
  <Paragraphs>2131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2026-02-26T13:40:22Z</dcterms:created>
  <dc:creator/>
  <dc:description/>
  <dc:language>hr-HR</dc:language>
  <cp:lastModifiedBy/>
  <cp:lastPrinted>2026-10-19T09:32:20Z</cp:lastPrinted>
  <dcterms:modified xsi:type="dcterms:W3CDTF">2026-10-19T09:46:24Z</dcterms:modified>
  <cp:revision>66</cp:revision>
  <dc:subject/>
  <dc:title/>
</cp:coreProperties>
</file>

<file path=docProps/custom.xml><?xml version="1.0" encoding="utf-8"?>
<Properties xmlns="http://schemas.openxmlformats.org/officeDocument/2006/custom-properties" xmlns:vt="http://schemas.openxmlformats.org/officeDocument/2006/docPropsVTypes"/>
</file>